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B42E" w14:textId="6F08D1DD" w:rsidR="00A72FCF" w:rsidRDefault="00A72FCF" w:rsidP="00A72FCF">
      <w:pPr>
        <w:pStyle w:val="Heading1"/>
        <w:jc w:val="center"/>
      </w:pPr>
      <w:r>
        <w:t>Voetnoten – Fiscaal jaaroverzicht van Koen Janssens</w:t>
      </w:r>
      <w:r>
        <w:br/>
      </w:r>
    </w:p>
    <w:p w14:paraId="514EC2D0" w14:textId="21B59832" w:rsidR="00A72FCF" w:rsidRPr="00A72FCF" w:rsidRDefault="00A72FCF" w:rsidP="00A72FCF">
      <w:pPr>
        <w:pStyle w:val="Pa10"/>
        <w:numPr>
          <w:ilvl w:val="0"/>
          <w:numId w:val="1"/>
        </w:numPr>
        <w:spacing w:before="120"/>
        <w:rPr>
          <w:rFonts w:asciiTheme="minorHAnsi" w:hAnsiTheme="minorHAnsi" w:cstheme="minorHAnsi"/>
          <w:color w:val="000000"/>
          <w:sz w:val="20"/>
          <w:szCs w:val="20"/>
        </w:rPr>
      </w:pPr>
      <w:r w:rsidRPr="00A72FCF">
        <w:rPr>
          <w:rFonts w:asciiTheme="minorHAnsi" w:hAnsiTheme="minorHAnsi" w:cstheme="minorHAnsi"/>
          <w:color w:val="000000"/>
          <w:sz w:val="20"/>
          <w:szCs w:val="20"/>
        </w:rPr>
        <w:t xml:space="preserve">La Libre </w:t>
      </w:r>
      <w:proofErr w:type="spellStart"/>
      <w:r w:rsidRPr="00A72FCF">
        <w:rPr>
          <w:rFonts w:asciiTheme="minorHAnsi" w:hAnsiTheme="minorHAnsi" w:cstheme="minorHAnsi"/>
          <w:color w:val="000000"/>
          <w:sz w:val="20"/>
          <w:szCs w:val="20"/>
        </w:rPr>
        <w:t>Belgique</w:t>
      </w:r>
      <w:proofErr w:type="spellEnd"/>
      <w:r w:rsidRPr="00A72FCF">
        <w:rPr>
          <w:rFonts w:asciiTheme="minorHAnsi" w:hAnsiTheme="minorHAnsi" w:cstheme="minorHAnsi"/>
          <w:color w:val="000000"/>
          <w:sz w:val="20"/>
          <w:szCs w:val="20"/>
        </w:rPr>
        <w:t xml:space="preserve"> 29 november 2021. Hoewel het Franstalige Belgische woord van het jaar (het aan het Engels ontleende) </w:t>
      </w:r>
      <w:proofErr w:type="spellStart"/>
      <w:r w:rsidRPr="00A72FCF">
        <w:rPr>
          <w:rFonts w:asciiTheme="minorHAnsi" w:hAnsiTheme="minorHAnsi" w:cstheme="minorHAnsi"/>
          <w:color w:val="000000"/>
          <w:sz w:val="20"/>
          <w:szCs w:val="20"/>
        </w:rPr>
        <w:t>ultracrépidarianisme</w:t>
      </w:r>
      <w:proofErr w:type="spellEnd"/>
      <w:r w:rsidRPr="00A72FCF">
        <w:rPr>
          <w:rFonts w:asciiTheme="minorHAnsi" w:hAnsiTheme="minorHAnsi" w:cstheme="minorHAnsi"/>
          <w:color w:val="000000"/>
          <w:sz w:val="20"/>
          <w:szCs w:val="20"/>
        </w:rPr>
        <w:t xml:space="preserve"> is – de door de coronacrisis aangewakkerde neiging om te pas en te onpas wijsneuzige meningen te spuien over dingen waar men geen verstand van heeft (‘schoenmaker, blijf bij je leest’ dus) – lijkt dat niet tot gevolg te hebben dat fiscale experten meer gezag krijgen.</w:t>
      </w:r>
    </w:p>
    <w:p w14:paraId="1D35996A" w14:textId="77777777"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color w:val="000000"/>
          <w:sz w:val="20"/>
          <w:szCs w:val="20"/>
        </w:rPr>
        <w:t>Het Rekenhof turfde over alle beleidsdomeinen en -niveaus heen 433 maatregelen (verslag van 17 november 2021) en zette de volledige lijst op zijn website (https://covid19.rekenhof.be/). Daarvan hebben er 54 betrekking op de federale fiscaliteit, met een budgettaire kost van € 3,05 miljard (het overzicht betreft alleen maatrege</w:t>
      </w:r>
      <w:r w:rsidRPr="00A72FCF">
        <w:rPr>
          <w:rFonts w:asciiTheme="minorHAnsi" w:hAnsiTheme="minorHAnsi" w:cstheme="minorHAnsi"/>
          <w:color w:val="000000"/>
          <w:sz w:val="20"/>
          <w:szCs w:val="20"/>
        </w:rPr>
        <w:softHyphen/>
        <w:t xml:space="preserve">len van 2020, waarvan er vele echter verlengd werden in 2021 – voor 2021 zou het kostenplaatje nog altijd € 1,06 miljard bedragen volgens het verslag over de begroting van 26 november 2021, p. 43). </w:t>
      </w:r>
    </w:p>
    <w:p w14:paraId="48FD7BAC" w14:textId="77777777"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color w:val="000000"/>
          <w:sz w:val="20"/>
          <w:szCs w:val="20"/>
        </w:rPr>
        <w:t xml:space="preserve">De cijfers tussen haakjes verwijzen naar het nummer en de bladzijde van </w:t>
      </w:r>
      <w:r w:rsidRPr="00A72FCF">
        <w:rPr>
          <w:rFonts w:asciiTheme="minorHAnsi" w:hAnsiTheme="minorHAnsi" w:cstheme="minorHAnsi"/>
          <w:i/>
          <w:iCs/>
          <w:color w:val="000000"/>
          <w:sz w:val="20"/>
          <w:szCs w:val="20"/>
        </w:rPr>
        <w:t xml:space="preserve">Fiscale Actualiteit </w:t>
      </w:r>
      <w:r w:rsidRPr="00A72FCF">
        <w:rPr>
          <w:rFonts w:asciiTheme="minorHAnsi" w:hAnsiTheme="minorHAnsi" w:cstheme="minorHAnsi"/>
          <w:color w:val="000000"/>
          <w:sz w:val="20"/>
          <w:szCs w:val="20"/>
        </w:rPr>
        <w:t xml:space="preserve">van 2021 waarin over het betreffende onderwerp bericht is. </w:t>
      </w:r>
    </w:p>
    <w:p w14:paraId="4E9C84C3" w14:textId="3F7E5C96"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Style w:val="A8"/>
          <w:rFonts w:asciiTheme="minorHAnsi" w:hAnsiTheme="minorHAnsi" w:cstheme="minorHAnsi"/>
          <w:sz w:val="20"/>
          <w:szCs w:val="20"/>
        </w:rPr>
        <w:t xml:space="preserve"> </w:t>
      </w:r>
      <w:r w:rsidRPr="00A72FCF">
        <w:rPr>
          <w:rFonts w:asciiTheme="minorHAnsi" w:hAnsiTheme="minorHAnsi" w:cstheme="minorHAnsi"/>
          <w:sz w:val="20"/>
          <w:szCs w:val="20"/>
        </w:rPr>
        <w:t>Merk wel op dat de fiscus meer en meer probeert dergelijke gevallen via andere wegen aan te pakken (ook via de schoonmoeder … – 8/1, 39/5).</w:t>
      </w:r>
    </w:p>
    <w:p w14:paraId="11D10A92" w14:textId="77777777" w:rsidR="00A72FCF" w:rsidRPr="00A72FCF" w:rsidRDefault="00A72FCF" w:rsidP="00A72FCF">
      <w:pPr>
        <w:pStyle w:val="Default"/>
        <w:numPr>
          <w:ilvl w:val="0"/>
          <w:numId w:val="1"/>
        </w:numPr>
        <w:rPr>
          <w:rFonts w:asciiTheme="minorHAnsi" w:hAnsiTheme="minorHAnsi" w:cstheme="minorHAnsi"/>
          <w:sz w:val="20"/>
          <w:szCs w:val="20"/>
        </w:rPr>
      </w:pPr>
      <w:r w:rsidRPr="00A72FCF">
        <w:rPr>
          <w:rFonts w:asciiTheme="minorHAnsi" w:hAnsiTheme="minorHAnsi" w:cstheme="minorHAnsi"/>
          <w:sz w:val="20"/>
          <w:szCs w:val="20"/>
        </w:rPr>
        <w:t xml:space="preserve">Ook over de realiteit van medische attesten was veel te doen in het voorbije jaar, en niet alleen dat van </w:t>
      </w:r>
      <w:proofErr w:type="spellStart"/>
      <w:r w:rsidRPr="00A72FCF">
        <w:rPr>
          <w:rFonts w:asciiTheme="minorHAnsi" w:hAnsiTheme="minorHAnsi" w:cstheme="minorHAnsi"/>
          <w:sz w:val="20"/>
          <w:szCs w:val="20"/>
        </w:rPr>
        <w:t>NoVax</w:t>
      </w:r>
      <w:proofErr w:type="spellEnd"/>
      <w:r w:rsidRPr="00A72FCF">
        <w:rPr>
          <w:rFonts w:asciiTheme="minorHAnsi" w:hAnsiTheme="minorHAnsi" w:cstheme="minorHAnsi"/>
          <w:sz w:val="20"/>
          <w:szCs w:val="20"/>
        </w:rPr>
        <w:t xml:space="preserve">, sorry, </w:t>
      </w:r>
      <w:proofErr w:type="spellStart"/>
      <w:r w:rsidRPr="00A72FCF">
        <w:rPr>
          <w:rFonts w:asciiTheme="minorHAnsi" w:hAnsiTheme="minorHAnsi" w:cstheme="minorHAnsi"/>
          <w:sz w:val="20"/>
          <w:szCs w:val="20"/>
        </w:rPr>
        <w:t>Novak</w:t>
      </w:r>
      <w:proofErr w:type="spellEnd"/>
      <w:r w:rsidRPr="00A72FCF">
        <w:rPr>
          <w:rFonts w:asciiTheme="minorHAnsi" w:hAnsiTheme="minorHAnsi" w:cstheme="minorHAnsi"/>
          <w:sz w:val="20"/>
          <w:szCs w:val="20"/>
        </w:rPr>
        <w:t xml:space="preserve"> </w:t>
      </w:r>
      <w:proofErr w:type="spellStart"/>
      <w:r w:rsidRPr="00A72FCF">
        <w:rPr>
          <w:rFonts w:asciiTheme="minorHAnsi" w:hAnsiTheme="minorHAnsi" w:cstheme="minorHAnsi"/>
          <w:sz w:val="20"/>
          <w:szCs w:val="20"/>
        </w:rPr>
        <w:t>Djokovic</w:t>
      </w:r>
      <w:proofErr w:type="spellEnd"/>
      <w:r w:rsidRPr="00A72FCF">
        <w:rPr>
          <w:rFonts w:asciiTheme="minorHAnsi" w:hAnsiTheme="minorHAnsi" w:cstheme="minorHAnsi"/>
          <w:sz w:val="20"/>
          <w:szCs w:val="20"/>
        </w:rPr>
        <w:t xml:space="preserve">. </w:t>
      </w:r>
    </w:p>
    <w:p w14:paraId="6202A26A" w14:textId="44A3852B"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color w:val="000000"/>
          <w:sz w:val="20"/>
          <w:szCs w:val="20"/>
        </w:rPr>
        <w:t>Toen de Raad van State in zijn advies bij het wetsontwerp op de vergroening van de mobiliteit de vraag stelde of er ook geen rekening gehouden moet worden met indirecte uitstoot, bv. bij de (energieverslindende) productie van batterijen of extra fijn stof van banden en wegdek wegens het veel hogere gewicht van elek</w:t>
      </w:r>
      <w:r w:rsidRPr="00A72FCF">
        <w:rPr>
          <w:rFonts w:asciiTheme="minorHAnsi" w:hAnsiTheme="minorHAnsi" w:cstheme="minorHAnsi"/>
          <w:color w:val="000000"/>
          <w:sz w:val="20"/>
          <w:szCs w:val="20"/>
        </w:rPr>
        <w:softHyphen/>
        <w:t>trische auto’s, antwoordde de regering gewoon dat daarover geen cijfers beschikbaar zijn (</w:t>
      </w:r>
      <w:proofErr w:type="spellStart"/>
      <w:r w:rsidRPr="00A72FCF">
        <w:rPr>
          <w:rFonts w:asciiTheme="minorHAnsi" w:hAnsiTheme="minorHAnsi" w:cstheme="minorHAnsi"/>
          <w:i/>
          <w:iCs/>
          <w:color w:val="000000"/>
          <w:sz w:val="20"/>
          <w:szCs w:val="20"/>
        </w:rPr>
        <w:t>Parl</w:t>
      </w:r>
      <w:proofErr w:type="spellEnd"/>
      <w:r w:rsidRPr="00A72FCF">
        <w:rPr>
          <w:rFonts w:asciiTheme="minorHAnsi" w:hAnsiTheme="minorHAnsi" w:cstheme="minorHAnsi"/>
          <w:i/>
          <w:iCs/>
          <w:color w:val="000000"/>
          <w:sz w:val="20"/>
          <w:szCs w:val="20"/>
        </w:rPr>
        <w:t xml:space="preserve">. St. </w:t>
      </w:r>
      <w:r w:rsidRPr="00A72FCF">
        <w:rPr>
          <w:rFonts w:asciiTheme="minorHAnsi" w:hAnsiTheme="minorHAnsi" w:cstheme="minorHAnsi"/>
          <w:color w:val="000000"/>
          <w:sz w:val="20"/>
          <w:szCs w:val="20"/>
        </w:rPr>
        <w:t>Kamer 2021-22, nr. 2170/1, 61). De vraag is inderdaad wat we doen met het gelijkheidsbeginsel als een dikke SUV die ondanks elektrische aandrijving allesbehalve ‘groen’ is, veel lichter belast wordt dan een zuinige klas</w:t>
      </w:r>
      <w:r w:rsidRPr="00A72FCF">
        <w:rPr>
          <w:rFonts w:asciiTheme="minorHAnsi" w:hAnsiTheme="minorHAnsi" w:cstheme="minorHAnsi"/>
          <w:color w:val="000000"/>
          <w:sz w:val="20"/>
          <w:szCs w:val="20"/>
        </w:rPr>
        <w:softHyphen/>
        <w:t xml:space="preserve">sieke auto die alles bij elkaar een lagere ecologische voetafdruk heeft. Zie ook B. Peeters in </w:t>
      </w:r>
      <w:r w:rsidRPr="00A72FCF">
        <w:rPr>
          <w:rFonts w:asciiTheme="minorHAnsi" w:hAnsiTheme="minorHAnsi" w:cstheme="minorHAnsi"/>
          <w:i/>
          <w:iCs/>
          <w:color w:val="000000"/>
          <w:sz w:val="20"/>
          <w:szCs w:val="20"/>
        </w:rPr>
        <w:t xml:space="preserve">AFT </w:t>
      </w:r>
      <w:r w:rsidRPr="00A72FCF">
        <w:rPr>
          <w:rFonts w:asciiTheme="minorHAnsi" w:hAnsiTheme="minorHAnsi" w:cstheme="minorHAnsi"/>
          <w:color w:val="000000"/>
          <w:sz w:val="20"/>
          <w:szCs w:val="20"/>
        </w:rPr>
        <w:t xml:space="preserve">2021.11, 2-3. Er is voorts het Europese plan om gas en atoomenergie fictief als ‘groen’ te bestempelen. </w:t>
      </w:r>
    </w:p>
    <w:p w14:paraId="33F670BD" w14:textId="6FFC02D8"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i/>
          <w:iCs/>
          <w:sz w:val="20"/>
          <w:szCs w:val="20"/>
        </w:rPr>
        <w:t xml:space="preserve">De Standaard </w:t>
      </w:r>
      <w:r w:rsidRPr="00A72FCF">
        <w:rPr>
          <w:rFonts w:asciiTheme="minorHAnsi" w:hAnsiTheme="minorHAnsi" w:cstheme="minorHAnsi"/>
          <w:sz w:val="20"/>
          <w:szCs w:val="20"/>
        </w:rPr>
        <w:t>8 januari 2021, 21.</w:t>
      </w:r>
    </w:p>
    <w:p w14:paraId="1D14885A" w14:textId="77777777" w:rsidR="00A72FCF" w:rsidRPr="00A72FCF" w:rsidRDefault="00A72FCF" w:rsidP="00A72FCF">
      <w:pPr>
        <w:pStyle w:val="Default"/>
        <w:numPr>
          <w:ilvl w:val="0"/>
          <w:numId w:val="1"/>
        </w:numPr>
        <w:rPr>
          <w:rFonts w:asciiTheme="minorHAnsi" w:hAnsiTheme="minorHAnsi" w:cstheme="minorHAnsi"/>
          <w:sz w:val="20"/>
          <w:szCs w:val="20"/>
        </w:rPr>
      </w:pPr>
      <w:r w:rsidRPr="00A72FCF">
        <w:rPr>
          <w:rFonts w:asciiTheme="minorHAnsi" w:hAnsiTheme="minorHAnsi" w:cstheme="minorHAnsi"/>
          <w:sz w:val="20"/>
          <w:szCs w:val="20"/>
        </w:rPr>
        <w:t>Maar als je belangrijke nieuwe maatregelen wil aankondigen, doe je dat best niet met een terloopse opmer</w:t>
      </w:r>
      <w:r w:rsidRPr="00A72FCF">
        <w:rPr>
          <w:rFonts w:asciiTheme="minorHAnsi" w:hAnsiTheme="minorHAnsi" w:cstheme="minorHAnsi"/>
          <w:sz w:val="20"/>
          <w:szCs w:val="20"/>
        </w:rPr>
        <w:softHyphen/>
        <w:t xml:space="preserve">king of een voetnoot in een circulaire. Zie de aangifteplicht voor betalingen aan een belastingparadijs (25/11, 22/8) en een verruimde ficheverplichting (10/4, 22/6). </w:t>
      </w:r>
    </w:p>
    <w:p w14:paraId="37BF9A32" w14:textId="70C5BC65"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color w:val="000000"/>
          <w:sz w:val="20"/>
          <w:szCs w:val="20"/>
        </w:rPr>
        <w:t xml:space="preserve">Ook het Rekenhof hekelt het gebrek aan rechtszekerheid in zijn verslag over het stelsel van 17 november. </w:t>
      </w:r>
    </w:p>
    <w:p w14:paraId="14DCAE79" w14:textId="681D7EA8"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i/>
          <w:iCs/>
          <w:color w:val="000000"/>
          <w:sz w:val="20"/>
          <w:szCs w:val="20"/>
        </w:rPr>
        <w:t xml:space="preserve">De Tijd </w:t>
      </w:r>
      <w:r w:rsidRPr="00A72FCF">
        <w:rPr>
          <w:rFonts w:asciiTheme="minorHAnsi" w:hAnsiTheme="minorHAnsi" w:cstheme="minorHAnsi"/>
          <w:color w:val="000000"/>
          <w:sz w:val="20"/>
          <w:szCs w:val="20"/>
        </w:rPr>
        <w:t>27 februari 2021 over een geval m.b.t. de tonnagetaks. De tendens is effectief stijgend: 3 gevallen in 2019, 11 in 2020 (</w:t>
      </w:r>
      <w:proofErr w:type="spellStart"/>
      <w:r w:rsidRPr="00A72FCF">
        <w:rPr>
          <w:rFonts w:asciiTheme="minorHAnsi" w:hAnsiTheme="minorHAnsi" w:cstheme="minorHAnsi"/>
          <w:i/>
          <w:iCs/>
          <w:color w:val="000000"/>
          <w:sz w:val="20"/>
          <w:szCs w:val="20"/>
        </w:rPr>
        <w:t>Parl</w:t>
      </w:r>
      <w:proofErr w:type="spellEnd"/>
      <w:r w:rsidRPr="00A72FCF">
        <w:rPr>
          <w:rFonts w:asciiTheme="minorHAnsi" w:hAnsiTheme="minorHAnsi" w:cstheme="minorHAnsi"/>
          <w:i/>
          <w:iCs/>
          <w:color w:val="000000"/>
          <w:sz w:val="20"/>
          <w:szCs w:val="20"/>
        </w:rPr>
        <w:t xml:space="preserve">. St. </w:t>
      </w:r>
      <w:r w:rsidRPr="00A72FCF">
        <w:rPr>
          <w:rFonts w:asciiTheme="minorHAnsi" w:hAnsiTheme="minorHAnsi" w:cstheme="minorHAnsi"/>
          <w:color w:val="000000"/>
          <w:sz w:val="20"/>
          <w:szCs w:val="20"/>
        </w:rPr>
        <w:t xml:space="preserve">Kamer 2020-21, nr. 2118/1, 6 en 13). </w:t>
      </w:r>
    </w:p>
    <w:p w14:paraId="711E09EE" w14:textId="49F05EC0"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i/>
          <w:iCs/>
          <w:color w:val="000000"/>
          <w:sz w:val="20"/>
          <w:szCs w:val="20"/>
        </w:rPr>
        <w:t xml:space="preserve">De Tijd </w:t>
      </w:r>
      <w:r w:rsidRPr="00A72FCF">
        <w:rPr>
          <w:rFonts w:asciiTheme="minorHAnsi" w:hAnsiTheme="minorHAnsi" w:cstheme="minorHAnsi"/>
          <w:color w:val="000000"/>
          <w:sz w:val="20"/>
          <w:szCs w:val="20"/>
        </w:rPr>
        <w:t>31 december 2021 over belastingvrije bonussen (</w:t>
      </w:r>
      <w:proofErr w:type="spellStart"/>
      <w:r w:rsidRPr="00A72FCF">
        <w:rPr>
          <w:rFonts w:asciiTheme="minorHAnsi" w:hAnsiTheme="minorHAnsi" w:cstheme="minorHAnsi"/>
          <w:i/>
          <w:iCs/>
          <w:color w:val="000000"/>
          <w:sz w:val="20"/>
          <w:szCs w:val="20"/>
        </w:rPr>
        <w:t>carried</w:t>
      </w:r>
      <w:proofErr w:type="spellEnd"/>
      <w:r w:rsidRPr="00A72FCF">
        <w:rPr>
          <w:rFonts w:asciiTheme="minorHAnsi" w:hAnsiTheme="minorHAnsi" w:cstheme="minorHAnsi"/>
          <w:i/>
          <w:iCs/>
          <w:color w:val="000000"/>
          <w:sz w:val="20"/>
          <w:szCs w:val="20"/>
        </w:rPr>
        <w:t xml:space="preserve"> intrest</w:t>
      </w:r>
      <w:r w:rsidRPr="00A72FCF">
        <w:rPr>
          <w:rFonts w:asciiTheme="minorHAnsi" w:hAnsiTheme="minorHAnsi" w:cstheme="minorHAnsi"/>
          <w:color w:val="000000"/>
          <w:sz w:val="20"/>
          <w:szCs w:val="20"/>
        </w:rPr>
        <w:t xml:space="preserve">) via aandelenopties. Voorbeelden van positieve </w:t>
      </w:r>
      <w:proofErr w:type="spellStart"/>
      <w:r w:rsidRPr="00A72FCF">
        <w:rPr>
          <w:rFonts w:asciiTheme="minorHAnsi" w:hAnsiTheme="minorHAnsi" w:cstheme="minorHAnsi"/>
          <w:color w:val="000000"/>
          <w:sz w:val="20"/>
          <w:szCs w:val="20"/>
        </w:rPr>
        <w:t>rulings</w:t>
      </w:r>
      <w:proofErr w:type="spellEnd"/>
      <w:r w:rsidRPr="00A72FCF">
        <w:rPr>
          <w:rFonts w:asciiTheme="minorHAnsi" w:hAnsiTheme="minorHAnsi" w:cstheme="minorHAnsi"/>
          <w:color w:val="000000"/>
          <w:sz w:val="20"/>
          <w:szCs w:val="20"/>
        </w:rPr>
        <w:t xml:space="preserve"> zijn nr. 2019.0680 tot 2019.0684, nr. 2019.0750 en nr. 2019.0752, 8 oktober 2019. </w:t>
      </w:r>
    </w:p>
    <w:p w14:paraId="286FF596" w14:textId="536C0ADE"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color w:val="000000"/>
          <w:sz w:val="20"/>
          <w:szCs w:val="20"/>
        </w:rPr>
        <w:t xml:space="preserve">Kamer, 2118/1, 22-23. Wat de cijfers relativeert, is dat de BBI haast nooit de wettigheid van een ruling betwist, maar ‘slechts’ dat de verrichting op essentiële punten niet uitgevoerd wordt zoals in de ruling beschreven – een wettelijke voorwaarde (2118/1, 25 en 30-31). Het begrip ‘essentieel’ blijkt echter rekbaar … </w:t>
      </w:r>
    </w:p>
    <w:p w14:paraId="3205F8D4" w14:textId="18779DF6"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sz w:val="20"/>
          <w:szCs w:val="20"/>
        </w:rPr>
        <w:t xml:space="preserve">De deelnemers aan de grote belastingenquête van </w:t>
      </w:r>
      <w:r w:rsidRPr="00A72FCF">
        <w:rPr>
          <w:rFonts w:asciiTheme="minorHAnsi" w:hAnsiTheme="minorHAnsi" w:cstheme="minorHAnsi"/>
          <w:i/>
          <w:iCs/>
          <w:sz w:val="20"/>
          <w:szCs w:val="20"/>
        </w:rPr>
        <w:t xml:space="preserve">De Morgen </w:t>
      </w:r>
      <w:r w:rsidRPr="00A72FCF">
        <w:rPr>
          <w:rFonts w:asciiTheme="minorHAnsi" w:hAnsiTheme="minorHAnsi" w:cstheme="minorHAnsi"/>
          <w:sz w:val="20"/>
          <w:szCs w:val="20"/>
        </w:rPr>
        <w:t>(zie ook verder) ervaren de belastingambtena</w:t>
      </w:r>
      <w:r w:rsidRPr="00A72FCF">
        <w:rPr>
          <w:rFonts w:asciiTheme="minorHAnsi" w:hAnsiTheme="minorHAnsi" w:cstheme="minorHAnsi"/>
          <w:sz w:val="20"/>
          <w:szCs w:val="20"/>
        </w:rPr>
        <w:softHyphen/>
        <w:t>ren doorgaans als professioneel en hulpvaardig (</w:t>
      </w:r>
      <w:r w:rsidRPr="00A72FCF">
        <w:rPr>
          <w:rFonts w:asciiTheme="minorHAnsi" w:hAnsiTheme="minorHAnsi" w:cstheme="minorHAnsi"/>
          <w:i/>
          <w:iCs/>
          <w:sz w:val="20"/>
          <w:szCs w:val="20"/>
        </w:rPr>
        <w:t xml:space="preserve">DM </w:t>
      </w:r>
      <w:r w:rsidRPr="00A72FCF">
        <w:rPr>
          <w:rFonts w:asciiTheme="minorHAnsi" w:hAnsiTheme="minorHAnsi" w:cstheme="minorHAnsi"/>
          <w:sz w:val="20"/>
          <w:szCs w:val="20"/>
        </w:rPr>
        <w:t>29 november 2021)?.</w:t>
      </w:r>
    </w:p>
    <w:p w14:paraId="7A4C99BD" w14:textId="77777777" w:rsidR="00A72FCF" w:rsidRPr="00A72FCF" w:rsidRDefault="00A72FCF" w:rsidP="00A72FCF">
      <w:pPr>
        <w:pStyle w:val="Default"/>
        <w:numPr>
          <w:ilvl w:val="0"/>
          <w:numId w:val="1"/>
        </w:numPr>
        <w:rPr>
          <w:rFonts w:asciiTheme="minorHAnsi" w:hAnsiTheme="minorHAnsi" w:cstheme="minorHAnsi"/>
          <w:sz w:val="20"/>
          <w:szCs w:val="20"/>
        </w:rPr>
      </w:pPr>
      <w:r w:rsidRPr="00A72FCF">
        <w:rPr>
          <w:rFonts w:asciiTheme="minorHAnsi" w:hAnsiTheme="minorHAnsi" w:cstheme="minorHAnsi"/>
          <w:sz w:val="20"/>
          <w:szCs w:val="20"/>
        </w:rPr>
        <w:t xml:space="preserve">Positief voor de burger is wel dat de fiscus sinds vorig jaar sneller </w:t>
      </w:r>
      <w:proofErr w:type="spellStart"/>
      <w:r w:rsidRPr="00A72FCF">
        <w:rPr>
          <w:rFonts w:asciiTheme="minorHAnsi" w:hAnsiTheme="minorHAnsi" w:cstheme="minorHAnsi"/>
          <w:sz w:val="20"/>
          <w:szCs w:val="20"/>
        </w:rPr>
        <w:t>inkohiert</w:t>
      </w:r>
      <w:proofErr w:type="spellEnd"/>
      <w:r w:rsidRPr="00A72FCF">
        <w:rPr>
          <w:rFonts w:asciiTheme="minorHAnsi" w:hAnsiTheme="minorHAnsi" w:cstheme="minorHAnsi"/>
          <w:sz w:val="20"/>
          <w:szCs w:val="20"/>
        </w:rPr>
        <w:t xml:space="preserve"> (en van plan is dat te blijven doen – verslag Rekenhof over de begroting 2022, p. 39), waardoor wie recht heeft op een terugbetaling, sneller zijn geld krijgt. </w:t>
      </w:r>
    </w:p>
    <w:p w14:paraId="53621308" w14:textId="2E8CD6CE"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color w:val="000000"/>
          <w:sz w:val="20"/>
          <w:szCs w:val="20"/>
        </w:rPr>
        <w:lastRenderedPageBreak/>
        <w:t xml:space="preserve">Men kan dat echter ook positief bekijken. Het gemak waarmee de Raad vroeger circulaires naar de prullenmand verwees, deed sommigen vrezen dat het voor de fiscus onmogelijk zou worden om nog toelichting te geven bij de wetgeving. En dat zou niet wenselijk zijn, gezien de chronische onduidelijkheid van onze wetgeving. Wellicht heeft ook de Raad dat beseft en verklaart dat mee zijn koerswijziging … </w:t>
      </w:r>
    </w:p>
    <w:p w14:paraId="3FF3A216" w14:textId="61672610"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Style w:val="A8"/>
          <w:rFonts w:asciiTheme="minorHAnsi" w:hAnsiTheme="minorHAnsi" w:cstheme="minorHAnsi"/>
          <w:sz w:val="20"/>
          <w:szCs w:val="20"/>
        </w:rPr>
        <w:t xml:space="preserve"> </w:t>
      </w:r>
      <w:r w:rsidRPr="00A72FCF">
        <w:rPr>
          <w:rFonts w:asciiTheme="minorHAnsi" w:hAnsiTheme="minorHAnsi" w:cstheme="minorHAnsi"/>
          <w:sz w:val="20"/>
          <w:szCs w:val="20"/>
        </w:rPr>
        <w:t xml:space="preserve">Radio 1, </w:t>
      </w:r>
      <w:r w:rsidRPr="00A72FCF">
        <w:rPr>
          <w:rFonts w:asciiTheme="minorHAnsi" w:hAnsiTheme="minorHAnsi" w:cstheme="minorHAnsi"/>
          <w:i/>
          <w:iCs/>
          <w:sz w:val="20"/>
          <w:szCs w:val="20"/>
        </w:rPr>
        <w:t xml:space="preserve">Nieuwe feiten </w:t>
      </w:r>
      <w:r w:rsidRPr="00A72FCF">
        <w:rPr>
          <w:rFonts w:asciiTheme="minorHAnsi" w:hAnsiTheme="minorHAnsi" w:cstheme="minorHAnsi"/>
          <w:sz w:val="20"/>
          <w:szCs w:val="20"/>
        </w:rPr>
        <w:t>van 11 januari 2022.</w:t>
      </w:r>
    </w:p>
    <w:p w14:paraId="6A1A9C0D" w14:textId="77777777" w:rsidR="00A72FCF" w:rsidRPr="00A72FCF" w:rsidRDefault="00A72FCF" w:rsidP="00A72FCF">
      <w:pPr>
        <w:pStyle w:val="Default"/>
        <w:numPr>
          <w:ilvl w:val="0"/>
          <w:numId w:val="1"/>
        </w:numPr>
        <w:rPr>
          <w:rFonts w:asciiTheme="minorHAnsi" w:hAnsiTheme="minorHAnsi" w:cstheme="minorHAnsi"/>
          <w:sz w:val="20"/>
          <w:szCs w:val="20"/>
        </w:rPr>
      </w:pPr>
      <w:r w:rsidRPr="00A72FCF">
        <w:rPr>
          <w:rFonts w:asciiTheme="minorHAnsi" w:hAnsiTheme="minorHAnsi" w:cstheme="minorHAnsi"/>
          <w:sz w:val="20"/>
          <w:szCs w:val="20"/>
        </w:rPr>
        <w:t>Die reactie was, tegen de achtergrond van de niet aflatende stroom schandalen in de sector, even wansmake</w:t>
      </w:r>
      <w:r w:rsidRPr="00A72FCF">
        <w:rPr>
          <w:rFonts w:asciiTheme="minorHAnsi" w:hAnsiTheme="minorHAnsi" w:cstheme="minorHAnsi"/>
          <w:sz w:val="20"/>
          <w:szCs w:val="20"/>
        </w:rPr>
        <w:softHyphen/>
        <w:t xml:space="preserve">lijk als de uitspraken van een voor </w:t>
      </w:r>
      <w:proofErr w:type="spellStart"/>
      <w:r w:rsidRPr="00A72FCF">
        <w:rPr>
          <w:rFonts w:asciiTheme="minorHAnsi" w:hAnsiTheme="minorHAnsi" w:cstheme="minorHAnsi"/>
          <w:sz w:val="20"/>
          <w:szCs w:val="20"/>
        </w:rPr>
        <w:t>sexisme</w:t>
      </w:r>
      <w:proofErr w:type="spellEnd"/>
      <w:r w:rsidRPr="00A72FCF">
        <w:rPr>
          <w:rFonts w:asciiTheme="minorHAnsi" w:hAnsiTheme="minorHAnsi" w:cstheme="minorHAnsi"/>
          <w:sz w:val="20"/>
          <w:szCs w:val="20"/>
        </w:rPr>
        <w:t xml:space="preserve"> veroordeelde bekende medicus. De grote clubs presteerden het op een bepaald moment zelfs om een plan voor te leggen dat de kleine clubs méér zou doen betalen en de grote extra voordelen zou opleveren (</w:t>
      </w:r>
      <w:r w:rsidRPr="00A72FCF">
        <w:rPr>
          <w:rFonts w:asciiTheme="minorHAnsi" w:hAnsiTheme="minorHAnsi" w:cstheme="minorHAnsi"/>
          <w:i/>
          <w:iCs/>
          <w:sz w:val="20"/>
          <w:szCs w:val="20"/>
        </w:rPr>
        <w:t xml:space="preserve">De Morgen </w:t>
      </w:r>
      <w:r w:rsidRPr="00A72FCF">
        <w:rPr>
          <w:rFonts w:asciiTheme="minorHAnsi" w:hAnsiTheme="minorHAnsi" w:cstheme="minorHAnsi"/>
          <w:sz w:val="20"/>
          <w:szCs w:val="20"/>
        </w:rPr>
        <w:t>16 december 2021 en 5 januari 2022). Een ander voorbeeld van lobbyfiscaliteit is de manier waarop de btw-verlaging voor afbraak en heropbouw, ook via de talrijke circulai</w:t>
      </w:r>
      <w:r w:rsidRPr="00A72FCF">
        <w:rPr>
          <w:rFonts w:asciiTheme="minorHAnsi" w:hAnsiTheme="minorHAnsi" w:cstheme="minorHAnsi"/>
          <w:sz w:val="20"/>
          <w:szCs w:val="20"/>
        </w:rPr>
        <w:softHyphen/>
        <w:t xml:space="preserve">res, helemaal afgestemd werd op de belangen van de promotoren (6/1, 9/1, 11/9, 13/6). </w:t>
      </w:r>
    </w:p>
    <w:p w14:paraId="4D2C24BB" w14:textId="1D58A845"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Style w:val="A8"/>
          <w:rFonts w:asciiTheme="minorHAnsi" w:hAnsiTheme="minorHAnsi" w:cstheme="minorHAnsi"/>
          <w:sz w:val="20"/>
          <w:szCs w:val="20"/>
        </w:rPr>
        <w:t xml:space="preserve"> </w:t>
      </w:r>
      <w:r w:rsidRPr="00A72FCF">
        <w:rPr>
          <w:rFonts w:asciiTheme="minorHAnsi" w:hAnsiTheme="minorHAnsi" w:cstheme="minorHAnsi"/>
          <w:sz w:val="20"/>
          <w:szCs w:val="20"/>
        </w:rPr>
        <w:t xml:space="preserve">Ook de mate van </w:t>
      </w:r>
      <w:proofErr w:type="spellStart"/>
      <w:r w:rsidRPr="00A72FCF">
        <w:rPr>
          <w:rFonts w:asciiTheme="minorHAnsi" w:hAnsiTheme="minorHAnsi" w:cstheme="minorHAnsi"/>
          <w:i/>
          <w:iCs/>
          <w:sz w:val="20"/>
          <w:szCs w:val="20"/>
        </w:rPr>
        <w:t>newspeak</w:t>
      </w:r>
      <w:proofErr w:type="spellEnd"/>
      <w:r w:rsidRPr="00A72FCF">
        <w:rPr>
          <w:rFonts w:asciiTheme="minorHAnsi" w:hAnsiTheme="minorHAnsi" w:cstheme="minorHAnsi"/>
          <w:i/>
          <w:iCs/>
          <w:sz w:val="20"/>
          <w:szCs w:val="20"/>
        </w:rPr>
        <w:t xml:space="preserve"> </w:t>
      </w:r>
      <w:r w:rsidRPr="00A72FCF">
        <w:rPr>
          <w:rFonts w:asciiTheme="minorHAnsi" w:hAnsiTheme="minorHAnsi" w:cstheme="minorHAnsi"/>
          <w:sz w:val="20"/>
          <w:szCs w:val="20"/>
        </w:rPr>
        <w:t xml:space="preserve">die blijkbaar nodig was om de maatregel verteerbaar te maken, viel op. Zo werd constant herhaald dat het dringend nodig is om komaf te maken met de “fiscale voordelen” voor vervuilende auto’s. Terwijl er natuurlijk helemaal geen fiscale voordelen bestaan voor auto’s, alleen maar (zware) </w:t>
      </w:r>
      <w:r w:rsidRPr="00A72FCF">
        <w:rPr>
          <w:rFonts w:asciiTheme="minorHAnsi" w:hAnsiTheme="minorHAnsi" w:cstheme="minorHAnsi"/>
          <w:i/>
          <w:iCs/>
          <w:sz w:val="20"/>
          <w:szCs w:val="20"/>
        </w:rPr>
        <w:t xml:space="preserve">nadelen </w:t>
      </w:r>
      <w:r w:rsidRPr="00A72FCF">
        <w:rPr>
          <w:rFonts w:asciiTheme="minorHAnsi" w:hAnsiTheme="minorHAnsi" w:cstheme="minorHAnsi"/>
          <w:sz w:val="20"/>
          <w:szCs w:val="20"/>
        </w:rPr>
        <w:t xml:space="preserve">– of hoe kan je het anders noemen als een bedrijfsgoed dat voor 100 % aftrekbaar zou moeten zijn, slechts voor gemiddeld 60-65 % of zelfs maar 40 % aftrekbaar is? Voorts werd in alle communicatie en tot in de memorie van toelichting consequent gesproken van ‘bedrijfswagens’. Dat appelleerde wel aan diegenen die van het afschaffen van de salariswagen een politiek strijdpunt hadden gemaakt, maar was misleidend. De maatregel betreft immers </w:t>
      </w:r>
      <w:r w:rsidRPr="00A72FCF">
        <w:rPr>
          <w:rFonts w:asciiTheme="minorHAnsi" w:hAnsiTheme="minorHAnsi" w:cstheme="minorHAnsi"/>
          <w:i/>
          <w:iCs/>
          <w:sz w:val="20"/>
          <w:szCs w:val="20"/>
        </w:rPr>
        <w:t xml:space="preserve">alle </w:t>
      </w:r>
      <w:r w:rsidRPr="00A72FCF">
        <w:rPr>
          <w:rFonts w:asciiTheme="minorHAnsi" w:hAnsiTheme="minorHAnsi" w:cstheme="minorHAnsi"/>
          <w:sz w:val="20"/>
          <w:szCs w:val="20"/>
        </w:rPr>
        <w:t xml:space="preserve">auto’s (die beroepsmatig of voor woon-werkverkeer gebruikt worden). Voorts werd zedig gezwegen over het feit dat de voordelen van alle aard wettelijk weliswaar onaangeroerd blijven maar </w:t>
      </w:r>
      <w:r w:rsidRPr="00A72FCF">
        <w:rPr>
          <w:rFonts w:asciiTheme="minorHAnsi" w:hAnsiTheme="minorHAnsi" w:cstheme="minorHAnsi"/>
          <w:i/>
          <w:iCs/>
          <w:sz w:val="20"/>
          <w:szCs w:val="20"/>
        </w:rPr>
        <w:t xml:space="preserve">de facto </w:t>
      </w:r>
      <w:r w:rsidRPr="00A72FCF">
        <w:rPr>
          <w:rFonts w:asciiTheme="minorHAnsi" w:hAnsiTheme="minorHAnsi" w:cstheme="minorHAnsi"/>
          <w:sz w:val="20"/>
          <w:szCs w:val="20"/>
        </w:rPr>
        <w:t>automatisch zullen stijgen voor auto’s met verbrandingsmotoren (zelfs bijna verdubbelen) via de impact die de elektrificatie zal hebben op de (theoretische) gemiddelde CO</w:t>
      </w:r>
      <w:r w:rsidRPr="00A72FCF">
        <w:rPr>
          <w:rFonts w:asciiTheme="minorHAnsi" w:hAnsiTheme="minorHAnsi" w:cstheme="minorHAnsi"/>
          <w:position w:val="-3"/>
          <w:sz w:val="20"/>
          <w:szCs w:val="20"/>
          <w:vertAlign w:val="subscript"/>
        </w:rPr>
        <w:t>2</w:t>
      </w:r>
      <w:r w:rsidRPr="00A72FCF">
        <w:rPr>
          <w:rFonts w:asciiTheme="minorHAnsi" w:hAnsiTheme="minorHAnsi" w:cstheme="minorHAnsi"/>
          <w:sz w:val="20"/>
          <w:szCs w:val="20"/>
        </w:rPr>
        <w:t>-uitstoot.</w:t>
      </w:r>
    </w:p>
    <w:p w14:paraId="7C0EDCBE" w14:textId="64A944C0" w:rsidR="00A72FCF" w:rsidRPr="00A72FCF" w:rsidRDefault="00A72FCF" w:rsidP="00A72FCF">
      <w:pPr>
        <w:pStyle w:val="Default"/>
        <w:numPr>
          <w:ilvl w:val="0"/>
          <w:numId w:val="1"/>
        </w:numPr>
        <w:rPr>
          <w:rFonts w:asciiTheme="minorHAnsi" w:hAnsiTheme="minorHAnsi" w:cstheme="minorHAnsi"/>
          <w:sz w:val="20"/>
          <w:szCs w:val="20"/>
        </w:rPr>
      </w:pPr>
      <w:r w:rsidRPr="00A72FCF">
        <w:rPr>
          <w:rFonts w:asciiTheme="minorHAnsi" w:hAnsiTheme="minorHAnsi" w:cstheme="minorHAnsi"/>
          <w:sz w:val="20"/>
          <w:szCs w:val="20"/>
        </w:rPr>
        <w:t>De reeds aangehaalde beperking van het toepassingsgebied van het forfait voor elektriciteit lijkt een voor</w:t>
      </w:r>
      <w:r w:rsidRPr="00A72FCF">
        <w:rPr>
          <w:rFonts w:asciiTheme="minorHAnsi" w:hAnsiTheme="minorHAnsi" w:cstheme="minorHAnsi"/>
          <w:sz w:val="20"/>
          <w:szCs w:val="20"/>
        </w:rPr>
        <w:softHyphen/>
        <w:t>beeld van het gevaar van een overhaaste reactie, met onbedoelde neveneffecten, meer disputen en onduide</w:t>
      </w:r>
      <w:r w:rsidRPr="00A72FCF">
        <w:rPr>
          <w:rFonts w:asciiTheme="minorHAnsi" w:hAnsiTheme="minorHAnsi" w:cstheme="minorHAnsi"/>
          <w:sz w:val="20"/>
          <w:szCs w:val="20"/>
        </w:rPr>
        <w:softHyphen/>
        <w:t xml:space="preserve">lijkheid, en mogelijke problemen met het gelijkheidsbeginsel (zie J. Wellens in </w:t>
      </w:r>
      <w:r w:rsidRPr="00A72FCF">
        <w:rPr>
          <w:rFonts w:asciiTheme="minorHAnsi" w:hAnsiTheme="minorHAnsi" w:cstheme="minorHAnsi"/>
          <w:i/>
          <w:iCs/>
          <w:sz w:val="20"/>
          <w:szCs w:val="20"/>
        </w:rPr>
        <w:t xml:space="preserve">Trends </w:t>
      </w:r>
      <w:r w:rsidRPr="00A72FCF">
        <w:rPr>
          <w:rFonts w:asciiTheme="minorHAnsi" w:hAnsiTheme="minorHAnsi" w:cstheme="minorHAnsi"/>
          <w:sz w:val="20"/>
          <w:szCs w:val="20"/>
        </w:rPr>
        <w:t xml:space="preserve">20 januari 2022). </w:t>
      </w:r>
    </w:p>
    <w:p w14:paraId="61374F0C" w14:textId="0914A7B1"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color w:val="000000"/>
          <w:sz w:val="20"/>
          <w:szCs w:val="20"/>
        </w:rPr>
        <w:t>Dat in het nieuwe Nationaal Veiligheidsplan fiscale fraude niet meer met zoveel woorden vermeld staat als een topprioriteit voor de politiediensten (</w:t>
      </w:r>
      <w:r w:rsidRPr="00A72FCF">
        <w:rPr>
          <w:rFonts w:asciiTheme="minorHAnsi" w:hAnsiTheme="minorHAnsi" w:cstheme="minorHAnsi"/>
          <w:i/>
          <w:iCs/>
          <w:color w:val="000000"/>
          <w:sz w:val="20"/>
          <w:szCs w:val="20"/>
        </w:rPr>
        <w:t xml:space="preserve">De Tijd </w:t>
      </w:r>
      <w:r w:rsidRPr="00A72FCF">
        <w:rPr>
          <w:rFonts w:asciiTheme="minorHAnsi" w:hAnsiTheme="minorHAnsi" w:cstheme="minorHAnsi"/>
          <w:color w:val="000000"/>
          <w:sz w:val="20"/>
          <w:szCs w:val="20"/>
        </w:rPr>
        <w:t xml:space="preserve">14 december 2021), wekte wel enige commotie maar is in zekere zin logisch. Politiek is men dat stadium immers al voorbij: belastingontwijking wordt nu meer en meer op dezelfde hoogte gesteld als -ontduiking. </w:t>
      </w:r>
    </w:p>
    <w:p w14:paraId="6D3C2D5D" w14:textId="770DB79D" w:rsidR="00A72FCF" w:rsidRPr="00A72FCF" w:rsidRDefault="00A72FCF" w:rsidP="00A72FCF">
      <w:pPr>
        <w:pStyle w:val="Pa10"/>
        <w:numPr>
          <w:ilvl w:val="0"/>
          <w:numId w:val="1"/>
        </w:numPr>
        <w:spacing w:before="120"/>
        <w:rPr>
          <w:rFonts w:asciiTheme="minorHAnsi" w:hAnsiTheme="minorHAnsi" w:cstheme="minorHAnsi"/>
          <w:sz w:val="20"/>
          <w:szCs w:val="20"/>
        </w:rPr>
      </w:pPr>
      <w:r w:rsidRPr="00A72FCF">
        <w:rPr>
          <w:rFonts w:asciiTheme="minorHAnsi" w:hAnsiTheme="minorHAnsi" w:cstheme="minorHAnsi"/>
          <w:sz w:val="20"/>
          <w:szCs w:val="20"/>
        </w:rPr>
        <w:t>Iets waar meer dan de helft van de ondervraagden geen graten in ziet. Het fameuze ‘</w:t>
      </w:r>
      <w:proofErr w:type="spellStart"/>
      <w:r w:rsidRPr="00A72FCF">
        <w:rPr>
          <w:rFonts w:asciiTheme="minorHAnsi" w:hAnsiTheme="minorHAnsi" w:cstheme="minorHAnsi"/>
          <w:sz w:val="20"/>
          <w:szCs w:val="20"/>
        </w:rPr>
        <w:t>nimby</w:t>
      </w:r>
      <w:proofErr w:type="spellEnd"/>
      <w:r w:rsidRPr="00A72FCF">
        <w:rPr>
          <w:rFonts w:asciiTheme="minorHAnsi" w:hAnsiTheme="minorHAnsi" w:cstheme="minorHAnsi"/>
          <w:sz w:val="20"/>
          <w:szCs w:val="20"/>
        </w:rPr>
        <w:t>’-syndroom (</w:t>
      </w:r>
      <w:proofErr w:type="spellStart"/>
      <w:r w:rsidRPr="00A72FCF">
        <w:rPr>
          <w:rFonts w:asciiTheme="minorHAnsi" w:hAnsiTheme="minorHAnsi" w:cstheme="minorHAnsi"/>
          <w:i/>
          <w:iCs/>
          <w:sz w:val="20"/>
          <w:szCs w:val="20"/>
        </w:rPr>
        <w:t>not</w:t>
      </w:r>
      <w:proofErr w:type="spellEnd"/>
      <w:r w:rsidRPr="00A72FCF">
        <w:rPr>
          <w:rFonts w:asciiTheme="minorHAnsi" w:hAnsiTheme="minorHAnsi" w:cstheme="minorHAnsi"/>
          <w:i/>
          <w:iCs/>
          <w:sz w:val="20"/>
          <w:szCs w:val="20"/>
        </w:rPr>
        <w:t xml:space="preserve"> in </w:t>
      </w:r>
      <w:proofErr w:type="spellStart"/>
      <w:r w:rsidRPr="00A72FCF">
        <w:rPr>
          <w:rFonts w:asciiTheme="minorHAnsi" w:hAnsiTheme="minorHAnsi" w:cstheme="minorHAnsi"/>
          <w:i/>
          <w:iCs/>
          <w:sz w:val="20"/>
          <w:szCs w:val="20"/>
        </w:rPr>
        <w:t>my</w:t>
      </w:r>
      <w:proofErr w:type="spellEnd"/>
      <w:r w:rsidRPr="00A72FCF">
        <w:rPr>
          <w:rFonts w:asciiTheme="minorHAnsi" w:hAnsiTheme="minorHAnsi" w:cstheme="minorHAnsi"/>
          <w:i/>
          <w:iCs/>
          <w:sz w:val="20"/>
          <w:szCs w:val="20"/>
        </w:rPr>
        <w:t xml:space="preserve"> backyard</w:t>
      </w:r>
      <w:r w:rsidRPr="00A72FCF">
        <w:rPr>
          <w:rFonts w:asciiTheme="minorHAnsi" w:hAnsiTheme="minorHAnsi" w:cstheme="minorHAnsi"/>
          <w:sz w:val="20"/>
          <w:szCs w:val="20"/>
        </w:rPr>
        <w:t xml:space="preserve">) bestaat dus ook inzake fiscale moraal! Het moet gezegd dat internationale ontwijking en fraude in de aandacht blijft door steeds nieuwe ‘lekken’ door onderzoeksjournalisten, zoals in oktober weer de </w:t>
      </w:r>
      <w:r w:rsidRPr="00A72FCF">
        <w:rPr>
          <w:rFonts w:asciiTheme="minorHAnsi" w:hAnsiTheme="minorHAnsi" w:cstheme="minorHAnsi"/>
          <w:i/>
          <w:iCs/>
          <w:sz w:val="20"/>
          <w:szCs w:val="20"/>
        </w:rPr>
        <w:t>Pandora Papers</w:t>
      </w:r>
      <w:r w:rsidRPr="00A72FCF">
        <w:rPr>
          <w:rFonts w:asciiTheme="minorHAnsi" w:hAnsiTheme="minorHAnsi" w:cstheme="minorHAnsi"/>
          <w:sz w:val="20"/>
          <w:szCs w:val="20"/>
        </w:rPr>
        <w:t>. Uit de enquête bleek echter vooral dat maar liefst 32 % fiscale fraude acceptabel vindt. De reputatie van de Belg als sjoemelaar wordt niet bepaald bijgesteld … (</w:t>
      </w:r>
      <w:r w:rsidRPr="00A72FCF">
        <w:rPr>
          <w:rFonts w:asciiTheme="minorHAnsi" w:hAnsiTheme="minorHAnsi" w:cstheme="minorHAnsi"/>
          <w:i/>
          <w:iCs/>
          <w:sz w:val="20"/>
          <w:szCs w:val="20"/>
        </w:rPr>
        <w:t xml:space="preserve">De Morgen </w:t>
      </w:r>
      <w:r w:rsidRPr="00A72FCF">
        <w:rPr>
          <w:rFonts w:asciiTheme="minorHAnsi" w:hAnsiTheme="minorHAnsi" w:cstheme="minorHAnsi"/>
          <w:sz w:val="20"/>
          <w:szCs w:val="20"/>
        </w:rPr>
        <w:t>27 en 30 november 2021). Mede daarom waarschijnlijk heeft de fiscus in mei op YouTube een animatiefilmpje gepost met een schattige kat in de hoofdrol, onder de titel “Hoe dragen belastingen bij aan onze samenleving?”, met de boodschap dat belasting betalen het leven aangenamer en gelukkiger maakt voor iedereen …</w:t>
      </w:r>
    </w:p>
    <w:sectPr w:rsidR="00A72FCF" w:rsidRPr="00A72F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143F1"/>
    <w:multiLevelType w:val="hybridMultilevel"/>
    <w:tmpl w:val="CB3AFB1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EC37891"/>
    <w:multiLevelType w:val="hybridMultilevel"/>
    <w:tmpl w:val="B0649E0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CF"/>
    <w:rsid w:val="00A72FCF"/>
    <w:rsid w:val="00B21C93"/>
    <w:rsid w:val="00F02D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9684"/>
  <w15:chartTrackingRefBased/>
  <w15:docId w15:val="{0EB67921-5D70-4C39-A27C-92B52E19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F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2FC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A72FCF"/>
    <w:pPr>
      <w:spacing w:line="201" w:lineRule="atLeast"/>
    </w:pPr>
    <w:rPr>
      <w:color w:val="auto"/>
    </w:rPr>
  </w:style>
  <w:style w:type="character" w:customStyle="1" w:styleId="A8">
    <w:name w:val="A8"/>
    <w:uiPriority w:val="99"/>
    <w:rsid w:val="00A72FCF"/>
    <w:rPr>
      <w:color w:val="000000"/>
      <w:sz w:val="10"/>
      <w:szCs w:val="10"/>
    </w:rPr>
  </w:style>
  <w:style w:type="character" w:customStyle="1" w:styleId="Heading1Char">
    <w:name w:val="Heading 1 Char"/>
    <w:basedOn w:val="DefaultParagraphFont"/>
    <w:link w:val="Heading1"/>
    <w:uiPriority w:val="9"/>
    <w:rsid w:val="00A72F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1154</Words>
  <Characters>6353</Characters>
  <Application>Microsoft Office Word</Application>
  <DocSecurity>0</DocSecurity>
  <Lines>52</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Bossuyt, Lise</dc:creator>
  <cp:keywords/>
  <dc:description/>
  <cp:lastModifiedBy>Van Bossuyt, Lise</cp:lastModifiedBy>
  <cp:revision>1</cp:revision>
  <dcterms:created xsi:type="dcterms:W3CDTF">2022-01-24T07:41:00Z</dcterms:created>
  <dcterms:modified xsi:type="dcterms:W3CDTF">2022-01-24T07:46:00Z</dcterms:modified>
</cp:coreProperties>
</file>