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000000" w:themeColor="text1"/>
          <w:sz w:val="32"/>
          <w:szCs w:val="32"/>
        </w:rPr>
        <w:id w:val="-1515446679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p w14:paraId="17AD8B32" w14:textId="7C7CF807" w:rsidR="00693A09" w:rsidRDefault="00FF2917">
          <w:pPr>
            <w:jc w:val="right"/>
            <w:rPr>
              <w:color w:val="000000" w:themeColor="text1"/>
              <w:sz w:val="32"/>
              <w:szCs w:val="32"/>
            </w:rPr>
          </w:pPr>
          <w:r>
            <w:rPr>
              <w:noProof/>
              <w:color w:val="EEECE1" w:themeColor="background2"/>
              <w:sz w:val="32"/>
              <w:szCs w:val="32"/>
            </w:rPr>
            <mc:AlternateContent>
              <mc:Choice Requires="wpg">
                <w:drawing>
                  <wp:anchor distT="0" distB="0" distL="114300" distR="114300" simplePos="0" relativeHeight="251648000" behindDoc="1" locked="0" layoutInCell="0" allowOverlap="1" wp14:anchorId="13E5D802" wp14:editId="00CE5674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1270</wp:posOffset>
                    </wp:positionV>
                    <wp:extent cx="10058400" cy="7771130"/>
                    <wp:effectExtent l="0" t="0" r="19050" b="19050"/>
                    <wp:wrapNone/>
                    <wp:docPr id="383" name="Group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0058400" cy="7771130"/>
                              <a:chOff x="0" y="0"/>
                              <a:chExt cx="12240" cy="15840"/>
                            </a:xfrm>
                          </wpg:grpSpPr>
                          <wps:wsp>
                            <wps:cNvPr id="384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0" cy="15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5" name="Rectangl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" y="638"/>
                                <a:ext cx="11016" cy="145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77CF0C9A" id="Group 39" o:spid="_x0000_s1026" style="position:absolute;margin-left:0;margin-top:.1pt;width:11in;height:611.9pt;z-index:-251668480;mso-width-percent:1000;mso-height-percent:1000;mso-position-horizontal-relative:page;mso-position-vertical-relative:page;mso-width-percent:1000;mso-height-percent:1000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" o:allowincell="f">
                    <v:rect id="Rectangle 40" o:spid="_x0000_s1027" style="position:absolute;width:12240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ub8MA&#10;AADcAAAADwAAAGRycy9kb3ducmV2LnhtbESPQWvCQBSE74X+h+UVvNWNsRWJ2UgpCF4kmIrn1+wz&#10;Cc2+DdltXP+9WxB6HGa+GSbfBtOLiUbXWVawmCcgiGurO24UnL52r2sQziNr7C2Tghs52BbPTzlm&#10;2l75SFPlGxFL2GWooPV+yKR0dUsG3dwOxNG72NGgj3JspB7xGstNL9MkWUmDHceFFgf6bKn+qX6N&#10;gqVOl+fF6XsIpSzfOz4YGVZnpWYv4WMDwlPw/+EHvdeRW7/B35l4BG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Vub8MAAADcAAAADwAAAAAAAAAAAAAAAACYAgAAZHJzL2Rv&#10;d25yZXYueG1sUEsFBgAAAAAEAAQA9QAAAIgDAAAAAA==&#10;" fillcolor="#4f81bd [3204]"/>
                    <v:rect id="Rectangle 41" o:spid="_x0000_s1028" style="position:absolute;left:612;top:638;width:11016;height:1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      <w10:wrap anchorx="page" anchory="page"/>
                  </v:group>
                </w:pict>
              </mc:Fallback>
            </mc:AlternateContent>
          </w:r>
          <w:r w:rsidR="00381953">
            <w:rPr>
              <w:noProof/>
            </w:rPr>
            <w:drawing>
              <wp:anchor distT="0" distB="0" distL="114300" distR="114300" simplePos="0" relativeHeight="251651072" behindDoc="1" locked="0" layoutInCell="1" allowOverlap="1" wp14:anchorId="57F24F93" wp14:editId="05E39E6F">
                <wp:simplePos x="0" y="0"/>
                <wp:positionH relativeFrom="column">
                  <wp:posOffset>1150620</wp:posOffset>
                </wp:positionH>
                <wp:positionV relativeFrom="paragraph">
                  <wp:posOffset>-537210</wp:posOffset>
                </wp:positionV>
                <wp:extent cx="5300504" cy="3897630"/>
                <wp:effectExtent l="0" t="0" r="0" b="7620"/>
                <wp:wrapNone/>
                <wp:docPr id="3" name="Picture 3" descr="C:\Users\Cary.Rodriguez\AppData\Local\Microsoft\Windows\Temporary Internet Files\Content.IE5\IWHH222M\MP900337366[1]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Cary.Rodriguez\AppData\Local\Microsoft\Windows\Temporary Internet Files\Content.IE5\IWHH222M\MP900337366[1]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0">
                                  <a14:imgEffect>
                                    <a14:colorTemperature colorTemp="47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03406" cy="3899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FD5F73" w:rsidRPr="00FD5F73">
            <w:rPr>
              <w:noProof/>
            </w:rPr>
            <w:t xml:space="preserve"> </w:t>
          </w:r>
        </w:p>
        <w:tbl>
          <w:tblPr>
            <w:tblpPr w:leftFromText="187" w:rightFromText="187" w:horzAnchor="margin" w:tblpXSpec="center" w:tblpYSpec="bottom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9576"/>
          </w:tblGrid>
          <w:tr w:rsidR="00693A09" w14:paraId="5DCA67EE" w14:textId="77777777">
            <w:trPr>
              <w:trHeight w:val="360"/>
            </w:trPr>
            <w:tc>
              <w:tcPr>
                <w:tcW w:w="9576" w:type="dxa"/>
              </w:tcPr>
              <w:p w14:paraId="77C1B85B" w14:textId="5AC35AF4" w:rsidR="00693A09" w:rsidRDefault="00D45247">
                <w:pPr>
                  <w:pStyle w:val="NoSpacing"/>
                  <w:jc w:val="center"/>
                  <w:rPr>
                    <w:color w:val="000000" w:themeColor="text1"/>
                    <w:sz w:val="32"/>
                    <w:szCs w:val="32"/>
                  </w:rPr>
                </w:pPr>
                <w:r>
                  <w:rPr>
                    <w:noProof/>
                    <w:lang w:eastAsia="en-US"/>
                  </w:rPr>
                  <w:drawing>
                    <wp:anchor distT="0" distB="0" distL="114300" distR="114300" simplePos="0" relativeHeight="251668480" behindDoc="0" locked="0" layoutInCell="1" allowOverlap="1" wp14:anchorId="7F5A6362" wp14:editId="03FA433F">
                      <wp:simplePos x="0" y="0"/>
                      <wp:positionH relativeFrom="column">
                        <wp:posOffset>-352425</wp:posOffset>
                      </wp:positionH>
                      <wp:positionV relativeFrom="paragraph">
                        <wp:posOffset>234950</wp:posOffset>
                      </wp:positionV>
                      <wp:extent cx="6641977" cy="549951"/>
                      <wp:effectExtent l="0" t="0" r="6985" b="0"/>
                      <wp:wrapNone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WK Logo.png"/>
                              <pic:cNvPicPr/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641977" cy="54995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3901EC74" w14:textId="32BB694C" w:rsidR="00693A09" w:rsidRDefault="000B6C5D">
          <w:pPr>
            <w:rPr>
              <w:rFonts w:asciiTheme="majorHAnsi" w:eastAsiaTheme="majorEastAsia" w:hAnsiTheme="majorHAnsi" w:cstheme="majorBidi"/>
              <w:color w:val="17365D" w:themeColor="text2" w:themeShade="BF"/>
              <w:spacing w:val="5"/>
              <w:kern w:val="28"/>
              <w:sz w:val="52"/>
              <w:szCs w:val="52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76CE0DC4" wp14:editId="618834FB">
                <wp:simplePos x="0" y="0"/>
                <wp:positionH relativeFrom="column">
                  <wp:posOffset>704850</wp:posOffset>
                </wp:positionH>
                <wp:positionV relativeFrom="paragraph">
                  <wp:posOffset>4356100</wp:posOffset>
                </wp:positionV>
                <wp:extent cx="4524375" cy="205884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amMate logo.jpg"/>
                        <pic:cNvPicPr/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24375" cy="2058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81953">
            <w:rPr>
              <w:noProof/>
              <w:color w:val="EEECE1" w:themeColor="background2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0" allowOverlap="1" wp14:anchorId="0841CE9C" wp14:editId="6DD1EFD7">
                    <wp:simplePos x="0" y="0"/>
                    <wp:positionH relativeFrom="page">
                      <wp:posOffset>403860</wp:posOffset>
                    </wp:positionH>
                    <wp:positionV relativeFrom="page">
                      <wp:posOffset>4335780</wp:posOffset>
                    </wp:positionV>
                    <wp:extent cx="6962140" cy="694690"/>
                    <wp:effectExtent l="0" t="0" r="0" b="0"/>
                    <wp:wrapNone/>
                    <wp:docPr id="12" name="Rectangle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62140" cy="694690"/>
                            </a:xfrm>
                            <a:prstGeom prst="rect">
                              <a:avLst/>
                            </a:prstGeom>
                            <a:solidFill>
                              <a:srgbClr val="A5A5A5">
                                <a:alpha val="89999"/>
                              </a:srgbClr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360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196"/>
                                  <w:gridCol w:w="8783"/>
                                </w:tblGrid>
                                <w:tr w:rsidR="00381953" w14:paraId="66AFE4D1" w14:textId="77777777">
                                  <w:trPr>
                                    <w:trHeight w:val="1080"/>
                                  </w:trPr>
                                  <w:tc>
                                    <w:tcPr>
                                      <w:tcW w:w="1000" w:type="pct"/>
                                      <w:shd w:val="clear" w:color="auto" w:fill="000000" w:themeFill="text1"/>
                                      <w:vAlign w:val="center"/>
                                    </w:tcPr>
                                    <w:p w14:paraId="7E71D619" w14:textId="77777777" w:rsidR="008C770A" w:rsidRDefault="008C770A" w:rsidP="00B15CD4">
                                      <w:pPr>
                                        <w:pStyle w:val="NoSpacing"/>
                                        <w:rPr>
                                          <w:small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sdt>
                                    <w:sdtPr>
                                      <w:rPr>
                                        <w:smallCaps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alias w:val="Title"/>
                                      <w:id w:val="-1046599216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4000" w:type="pct"/>
                                          <w:shd w:val="clear" w:color="auto" w:fill="auto"/>
                                          <w:vAlign w:val="center"/>
                                        </w:tcPr>
                                        <w:p w14:paraId="702F6E85" w14:textId="77777777" w:rsidR="008C770A" w:rsidRDefault="008C770A" w:rsidP="00FD5F73">
                                          <w:pPr>
                                            <w:pStyle w:val="NoSpacing"/>
                                            <w:rPr>
                                              <w:smallCaps/>
                                              <w:color w:val="FFFFFF" w:themeColor="background1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smallCaps/>
                                              <w:color w:val="FFFFFF" w:themeColor="background1"/>
                                              <w:sz w:val="56"/>
                                              <w:szCs w:val="56"/>
                                            </w:rPr>
                                            <w:t>Champion Pharmaceuticals, Inc.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04EA138D" w14:textId="77777777" w:rsidR="008C770A" w:rsidRDefault="008C770A">
                                <w:pPr>
                                  <w:pStyle w:val="NoSpacing"/>
                                  <w:spacing w:line="14" w:lineRule="exact"/>
                                </w:pPr>
                              </w:p>
                            </w:txbxContent>
                          </wps:txbx>
                          <wps:bodyPr rot="0" vert="horz" wrap="square" lIns="228600" tIns="0" rIns="22860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841CE9C" id="Rectangle 42" o:spid="_x0000_s1026" style="position:absolute;left:0;text-align:left;margin-left:31.8pt;margin-top:341.4pt;width:548.2pt;height:54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" o:allowincell="f" fillcolor="#a5a5a5" stroked="f">
                    <v:fill opacity="58853f"/>
                    <v:textbox style="mso-fit-shape-to-text:t" inset="18pt,0,18pt,0">
                      <w:txbxContent>
                        <w:tbl>
                          <w:tblPr>
                            <w:tblW w:w="5000" w:type="pct"/>
                            <w:tblCellMar>
                              <w:left w:w="360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196"/>
                            <w:gridCol w:w="8783"/>
                          </w:tblGrid>
                          <w:tr w:rsidR="00381953" w14:paraId="66AFE4D1" w14:textId="77777777">
                            <w:trPr>
                              <w:trHeight w:val="1080"/>
                            </w:trPr>
                            <w:tc>
                              <w:tcPr>
                                <w:tcW w:w="1000" w:type="pct"/>
                                <w:shd w:val="clear" w:color="auto" w:fill="000000" w:themeFill="text1"/>
                                <w:vAlign w:val="center"/>
                              </w:tcPr>
                              <w:p w14:paraId="7E71D619" w14:textId="77777777" w:rsidR="008C770A" w:rsidRDefault="008C770A" w:rsidP="00B15CD4">
                                <w:pPr>
                                  <w:pStyle w:val="NoSpacing"/>
                                  <w:rPr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sdt>
                              <w:sdtPr>
                                <w:rPr>
                                  <w:smallCaps/>
                                  <w:color w:val="FFFFFF" w:themeColor="background1"/>
                                  <w:sz w:val="56"/>
                                  <w:szCs w:val="56"/>
                                </w:rPr>
                                <w:alias w:val="Title"/>
                                <w:id w:val="-1046599216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tc>
                                  <w:tcPr>
                                    <w:tcW w:w="4000" w:type="pct"/>
                                    <w:shd w:val="clear" w:color="auto" w:fill="auto"/>
                                    <w:vAlign w:val="center"/>
                                  </w:tcPr>
                                  <w:p w14:paraId="702F6E85" w14:textId="77777777" w:rsidR="008C770A" w:rsidRDefault="008C770A" w:rsidP="00FD5F73">
                                    <w:pPr>
                                      <w:pStyle w:val="NoSpacing"/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t>Champion Pharmaceuticals, Inc.</w:t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14:paraId="04EA138D" w14:textId="77777777" w:rsidR="008C770A" w:rsidRDefault="008C770A">
                          <w:pPr>
                            <w:pStyle w:val="NoSpacing"/>
                            <w:spacing w:line="14" w:lineRule="exact"/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693A09">
            <w:br w:type="page"/>
          </w:r>
        </w:p>
      </w:sdtContent>
    </w:sdt>
    <w:p w14:paraId="19D8F390" w14:textId="77777777" w:rsidR="002859A3" w:rsidRDefault="002859A3" w:rsidP="002859A3">
      <w:pPr>
        <w:pStyle w:val="Heading1"/>
      </w:pPr>
      <w:bookmarkStart w:id="0" w:name="_Toc331753439"/>
      <w:bookmarkStart w:id="1" w:name="_Toc334804062"/>
      <w:r>
        <w:lastRenderedPageBreak/>
        <w:t>Practice Case Overview</w:t>
      </w:r>
    </w:p>
    <w:p w14:paraId="3304917D" w14:textId="77777777" w:rsidR="00CA3D13" w:rsidRDefault="00CA3D13" w:rsidP="00CA3D13">
      <w:pPr>
        <w:pStyle w:val="Heading2"/>
      </w:pPr>
      <w:bookmarkStart w:id="2" w:name="_Toc331753440"/>
      <w:bookmarkStart w:id="3" w:name="_Toc334804063"/>
      <w:bookmarkEnd w:id="0"/>
      <w:bookmarkEnd w:id="1"/>
      <w:r>
        <w:t>Practice Case Objective</w:t>
      </w:r>
      <w:bookmarkEnd w:id="2"/>
      <w:bookmarkEnd w:id="3"/>
    </w:p>
    <w:p w14:paraId="514E2866" w14:textId="77777777" w:rsidR="00CA3D13" w:rsidRDefault="00CA3D13" w:rsidP="00CA3D13">
      <w:r>
        <w:t xml:space="preserve">This practice case is designed to introduce you to the TeamMate Audit Management </w:t>
      </w:r>
      <w:r w:rsidR="00F944E9">
        <w:t>S</w:t>
      </w:r>
      <w:r>
        <w:t xml:space="preserve">ystem and how it can be used by </w:t>
      </w:r>
      <w:r w:rsidR="00BE0EC6">
        <w:t xml:space="preserve">internal </w:t>
      </w:r>
      <w:r>
        <w:t xml:space="preserve">audit </w:t>
      </w:r>
      <w:r w:rsidR="00BE0EC6">
        <w:t>functions</w:t>
      </w:r>
      <w:r>
        <w:t xml:space="preserve"> of all sizes to help provide an effective and efficient means of delivering standards</w:t>
      </w:r>
      <w:r w:rsidR="00BE49AD">
        <w:t>-</w:t>
      </w:r>
      <w:r>
        <w:t>based audit process</w:t>
      </w:r>
      <w:r w:rsidR="00BE49AD">
        <w:t>es</w:t>
      </w:r>
      <w:r>
        <w:t xml:space="preserve"> to their organization</w:t>
      </w:r>
      <w:r w:rsidR="00BE49AD">
        <w:t>s</w:t>
      </w:r>
      <w:r>
        <w:t>.</w:t>
      </w:r>
    </w:p>
    <w:p w14:paraId="3E70AF8A" w14:textId="77777777" w:rsidR="00CA3D13" w:rsidRDefault="00CA3D13" w:rsidP="00CA3D13">
      <w:pPr>
        <w:pStyle w:val="Heading2"/>
      </w:pPr>
      <w:bookmarkStart w:id="4" w:name="_Toc331753441"/>
      <w:bookmarkStart w:id="5" w:name="_Toc334804064"/>
      <w:r>
        <w:t>What is TeamMate?</w:t>
      </w:r>
      <w:bookmarkEnd w:id="4"/>
      <w:bookmarkEnd w:id="5"/>
    </w:p>
    <w:p w14:paraId="040B1CD9" w14:textId="77777777" w:rsidR="00CA3D13" w:rsidRDefault="00CA3D13" w:rsidP="00CA3D13">
      <w:r>
        <w:t xml:space="preserve">TeamMate is the world’s leading internal audit software designed to make </w:t>
      </w:r>
      <w:r w:rsidR="00BE49AD">
        <w:t xml:space="preserve">the </w:t>
      </w:r>
      <w:r>
        <w:t xml:space="preserve">entire internal audit process more efficient. TeamMate has revolutionized the audit industry, empowering </w:t>
      </w:r>
      <w:r w:rsidR="00BE0EC6">
        <w:t xml:space="preserve">internal </w:t>
      </w:r>
      <w:r>
        <w:t xml:space="preserve">audit </w:t>
      </w:r>
      <w:r w:rsidR="00BE0EC6">
        <w:t>functions</w:t>
      </w:r>
      <w:r>
        <w:t xml:space="preserve"> of all sizes to spend less time documenting and reviewing </w:t>
      </w:r>
      <w:r w:rsidR="008B7CEA">
        <w:t xml:space="preserve">their work </w:t>
      </w:r>
      <w:r>
        <w:t>and more time providing value-added services.</w:t>
      </w:r>
    </w:p>
    <w:p w14:paraId="395E70E5" w14:textId="77777777" w:rsidR="00CA3D13" w:rsidRDefault="00CA3D13" w:rsidP="00CA3D13">
      <w:pPr>
        <w:pStyle w:val="Heading2"/>
      </w:pPr>
      <w:bookmarkStart w:id="6" w:name="_Toc331753442"/>
      <w:bookmarkStart w:id="7" w:name="_Toc334804065"/>
      <w:r>
        <w:t>Why is exposure to TeamMate Important?</w:t>
      </w:r>
      <w:bookmarkEnd w:id="6"/>
      <w:bookmarkEnd w:id="7"/>
    </w:p>
    <w:p w14:paraId="771DE6A4" w14:textId="2BB4BF55" w:rsidR="00CA3D13" w:rsidRDefault="00AC0B01" w:rsidP="00CA3D13">
      <w:r>
        <w:t>More than 100,</w:t>
      </w:r>
      <w:r w:rsidR="00CA3D13">
        <w:t xml:space="preserve">000 </w:t>
      </w:r>
      <w:r w:rsidR="00BE0EC6">
        <w:t xml:space="preserve">internal </w:t>
      </w:r>
      <w:r>
        <w:t>auditors from more than 2,5</w:t>
      </w:r>
      <w:r w:rsidR="00CA3D13">
        <w:t>00 orga</w:t>
      </w:r>
      <w:r>
        <w:t>nizations in over 120 countries</w:t>
      </w:r>
      <w:r w:rsidR="00CA3D13">
        <w:t xml:space="preserve"> use </w:t>
      </w:r>
      <w:r w:rsidR="00BE0EC6">
        <w:t xml:space="preserve">the </w:t>
      </w:r>
      <w:r w:rsidR="00CA3D13">
        <w:t xml:space="preserve">TeamMate Audit Management System to manage their internal audit processes. In your career as an </w:t>
      </w:r>
      <w:r w:rsidR="00BE0EC6">
        <w:t xml:space="preserve">internal </w:t>
      </w:r>
      <w:r w:rsidR="00CA3D13">
        <w:t>auditor</w:t>
      </w:r>
      <w:r w:rsidR="00BE0EC6">
        <w:t>,</w:t>
      </w:r>
      <w:r w:rsidR="00CA3D13">
        <w:t xml:space="preserve"> chances are high that you will be asked to perform your work </w:t>
      </w:r>
      <w:r w:rsidR="004102B0">
        <w:t>using</w:t>
      </w:r>
      <w:r w:rsidR="00CA3D13">
        <w:t xml:space="preserve"> TeamMate.</w:t>
      </w:r>
    </w:p>
    <w:p w14:paraId="51261F88" w14:textId="77777777" w:rsidR="00CA3D13" w:rsidRDefault="00CA3D13" w:rsidP="00CA3D13">
      <w:r>
        <w:t xml:space="preserve">From start to finish, </w:t>
      </w:r>
      <w:r w:rsidR="005C51EA">
        <w:t>Teammate’s</w:t>
      </w:r>
      <w:r>
        <w:t xml:space="preserve"> audit management software streamline</w:t>
      </w:r>
      <w:r w:rsidR="00365AED">
        <w:t>s</w:t>
      </w:r>
      <w:r>
        <w:t xml:space="preserve"> </w:t>
      </w:r>
      <w:r w:rsidR="00365AED">
        <w:t>the</w:t>
      </w:r>
      <w:r>
        <w:t xml:space="preserve"> audit process. </w:t>
      </w:r>
      <w:r w:rsidR="00365AED">
        <w:t>It</w:t>
      </w:r>
      <w:r>
        <w:t xml:space="preserve"> promotes seamless data</w:t>
      </w:r>
      <w:r w:rsidR="00365AED">
        <w:t xml:space="preserve"> </w:t>
      </w:r>
      <w:r>
        <w:t xml:space="preserve">flow for all aspects of </w:t>
      </w:r>
      <w:r w:rsidR="00365AED">
        <w:t>audit</w:t>
      </w:r>
      <w:r>
        <w:t xml:space="preserve"> work through</w:t>
      </w:r>
      <w:r w:rsidR="007B2E66">
        <w:t>out the suite.</w:t>
      </w:r>
      <w:r>
        <w:t xml:space="preserve"> </w:t>
      </w:r>
    </w:p>
    <w:p w14:paraId="3E948B49" w14:textId="77777777" w:rsidR="00CA3D13" w:rsidRDefault="00CA3D13" w:rsidP="00CA3D13">
      <w:pPr>
        <w:pStyle w:val="Heading1"/>
      </w:pPr>
      <w:bookmarkStart w:id="8" w:name="_Toc331753443"/>
      <w:bookmarkStart w:id="9" w:name="_Toc334804066"/>
      <w:r>
        <w:t>The Company</w:t>
      </w:r>
      <w:bookmarkEnd w:id="8"/>
      <w:bookmarkEnd w:id="9"/>
    </w:p>
    <w:p w14:paraId="63B0320E" w14:textId="77777777" w:rsidR="00CA3D13" w:rsidRPr="00CB741B" w:rsidRDefault="00CA3D13" w:rsidP="00CA3D13">
      <w:pPr>
        <w:pStyle w:val="Heading2"/>
      </w:pPr>
      <w:bookmarkStart w:id="10" w:name="_Toc331753444"/>
      <w:bookmarkStart w:id="11" w:name="_Toc334804067"/>
      <w:r>
        <w:t xml:space="preserve">Company </w:t>
      </w:r>
      <w:r w:rsidRPr="00CB741B">
        <w:t>Background</w:t>
      </w:r>
      <w:bookmarkEnd w:id="10"/>
      <w:bookmarkEnd w:id="11"/>
    </w:p>
    <w:p w14:paraId="797D2850" w14:textId="4201BBF4" w:rsidR="00CA3D13" w:rsidRDefault="00CA3D13" w:rsidP="00CA3D13">
      <w:r>
        <w:t>Champion Pharmaceutical</w:t>
      </w:r>
      <w:r w:rsidRPr="00032214">
        <w:t xml:space="preserve">, Inc. </w:t>
      </w:r>
      <w:r>
        <w:t xml:space="preserve">(CPI) </w:t>
      </w:r>
      <w:r w:rsidRPr="00032214">
        <w:t>provides ph</w:t>
      </w:r>
      <w:r w:rsidR="00773C3A">
        <w:t>ysicians a steady supply of FDA-</w:t>
      </w:r>
      <w:r w:rsidRPr="00032214">
        <w:t>approved drugs while employing security and best practices for safely distributing prescription drugs to pharmacies, practitioners</w:t>
      </w:r>
      <w:r w:rsidR="00BE0EC6">
        <w:t>,</w:t>
      </w:r>
      <w:r w:rsidRPr="00032214">
        <w:t xml:space="preserve"> and health care facilities across the country.</w:t>
      </w:r>
    </w:p>
    <w:p w14:paraId="51806E1C" w14:textId="77777777" w:rsidR="00CA3D13" w:rsidRDefault="00CA3D13" w:rsidP="00CA3D13">
      <w:r>
        <w:t>CPI was founded in 1912 and is headquartered in Chicago, Illinois. The</w:t>
      </w:r>
      <w:r w:rsidR="00365AED">
        <w:t xml:space="preserve"> company</w:t>
      </w:r>
      <w:r>
        <w:t xml:space="preserve"> ha</w:t>
      </w:r>
      <w:r w:rsidR="00365AED">
        <w:t>s</w:t>
      </w:r>
      <w:r>
        <w:t xml:space="preserve"> manufacturing and distribution facilities in Salt Lake City, UT and Columbus, OH. </w:t>
      </w:r>
      <w:r w:rsidR="00365AED">
        <w:t>It</w:t>
      </w:r>
      <w:r>
        <w:t xml:space="preserve"> also ha</w:t>
      </w:r>
      <w:r w:rsidR="00365AED">
        <w:t>s</w:t>
      </w:r>
      <w:r>
        <w:t xml:space="preserve"> a regional distribution center in Oklahoma City, OK. C</w:t>
      </w:r>
      <w:r w:rsidR="00365AED">
        <w:t>PI</w:t>
      </w:r>
      <w:r>
        <w:t xml:space="preserve"> employs 5,000 people throughout the country.</w:t>
      </w:r>
    </w:p>
    <w:p w14:paraId="470D1B7D" w14:textId="77777777" w:rsidR="00CA3D13" w:rsidRDefault="00CA3D13" w:rsidP="00CA3D13">
      <w:pPr>
        <w:pStyle w:val="Heading2"/>
      </w:pPr>
      <w:bookmarkStart w:id="12" w:name="_Toc331753445"/>
      <w:bookmarkStart w:id="13" w:name="_Toc334804068"/>
      <w:r>
        <w:t>Company Structure</w:t>
      </w:r>
      <w:bookmarkEnd w:id="12"/>
      <w:bookmarkEnd w:id="13"/>
    </w:p>
    <w:p w14:paraId="5CE452CA" w14:textId="77777777" w:rsidR="00CA3D13" w:rsidRDefault="005C51EA" w:rsidP="00CA3D13">
      <w:r w:rsidRPr="00C65843">
        <w:t>An Executive Committee of seven individuals heads the company</w:t>
      </w:r>
      <w:r w:rsidR="00365AED">
        <w:t>:</w:t>
      </w:r>
      <w:r w:rsidR="00CA3D13">
        <w:t xml:space="preserve"> three </w:t>
      </w:r>
      <w:r w:rsidR="00787775">
        <w:t>O</w:t>
      </w:r>
      <w:r w:rsidR="00CA3D13">
        <w:t>fficers and four Divisional Vice Presidents.</w:t>
      </w:r>
    </w:p>
    <w:p w14:paraId="3E48FB0E" w14:textId="77777777" w:rsidR="00CA3D13" w:rsidRDefault="00787775" w:rsidP="00CA3D13">
      <w:r>
        <w:t xml:space="preserve">CPI’s </w:t>
      </w:r>
      <w:r w:rsidR="00CA3D13">
        <w:t>Officers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A3D13" w14:paraId="7ABBE1F8" w14:textId="77777777" w:rsidTr="00D312E3">
        <w:tc>
          <w:tcPr>
            <w:tcW w:w="4788" w:type="dxa"/>
          </w:tcPr>
          <w:p w14:paraId="10D4229A" w14:textId="77777777" w:rsidR="00CA3D13" w:rsidRPr="006673E1" w:rsidRDefault="00CA3D13" w:rsidP="00D312E3">
            <w:pPr>
              <w:rPr>
                <w:b/>
              </w:rPr>
            </w:pPr>
            <w:r w:rsidRPr="006673E1">
              <w:rPr>
                <w:b/>
              </w:rPr>
              <w:t>Position</w:t>
            </w:r>
          </w:p>
        </w:tc>
        <w:tc>
          <w:tcPr>
            <w:tcW w:w="4788" w:type="dxa"/>
          </w:tcPr>
          <w:p w14:paraId="3540319B" w14:textId="77777777" w:rsidR="00CA3D13" w:rsidRPr="006673E1" w:rsidRDefault="00CA3D13" w:rsidP="00D312E3">
            <w:pPr>
              <w:rPr>
                <w:b/>
              </w:rPr>
            </w:pPr>
            <w:r w:rsidRPr="006673E1">
              <w:rPr>
                <w:b/>
              </w:rPr>
              <w:t>Name</w:t>
            </w:r>
          </w:p>
        </w:tc>
      </w:tr>
      <w:tr w:rsidR="00CA3D13" w14:paraId="025AA373" w14:textId="77777777" w:rsidTr="00D312E3">
        <w:tc>
          <w:tcPr>
            <w:tcW w:w="4788" w:type="dxa"/>
          </w:tcPr>
          <w:p w14:paraId="14D8DF0F" w14:textId="77777777" w:rsidR="00CA3D13" w:rsidRDefault="00CA3D13" w:rsidP="00D312E3">
            <w:r>
              <w:t>Chief Executive Officer</w:t>
            </w:r>
          </w:p>
        </w:tc>
        <w:tc>
          <w:tcPr>
            <w:tcW w:w="4788" w:type="dxa"/>
          </w:tcPr>
          <w:p w14:paraId="5EF1EE95" w14:textId="77777777" w:rsidR="00CA3D13" w:rsidRDefault="00CA3D13" w:rsidP="00D312E3">
            <w:r>
              <w:t>Ian Rhind</w:t>
            </w:r>
          </w:p>
        </w:tc>
      </w:tr>
      <w:tr w:rsidR="00CA3D13" w14:paraId="605E1507" w14:textId="77777777" w:rsidTr="00D312E3">
        <w:tc>
          <w:tcPr>
            <w:tcW w:w="4788" w:type="dxa"/>
          </w:tcPr>
          <w:p w14:paraId="6A3D13AB" w14:textId="77777777" w:rsidR="00CA3D13" w:rsidRDefault="00CA3D13" w:rsidP="00D312E3">
            <w:r>
              <w:t>Chief Finance Officer</w:t>
            </w:r>
          </w:p>
        </w:tc>
        <w:tc>
          <w:tcPr>
            <w:tcW w:w="4788" w:type="dxa"/>
          </w:tcPr>
          <w:p w14:paraId="44287D5C" w14:textId="77777777" w:rsidR="00CA3D13" w:rsidRDefault="007B2E66" w:rsidP="007B2E66">
            <w:r>
              <w:t>Michael Charney</w:t>
            </w:r>
          </w:p>
        </w:tc>
      </w:tr>
      <w:tr w:rsidR="00CA3D13" w14:paraId="72B178A1" w14:textId="77777777" w:rsidTr="00D312E3">
        <w:tc>
          <w:tcPr>
            <w:tcW w:w="4788" w:type="dxa"/>
          </w:tcPr>
          <w:p w14:paraId="145988E2" w14:textId="77777777" w:rsidR="00CA3D13" w:rsidRDefault="00CA3D13" w:rsidP="00D312E3">
            <w:r>
              <w:t>Chief Operating Officer</w:t>
            </w:r>
          </w:p>
        </w:tc>
        <w:tc>
          <w:tcPr>
            <w:tcW w:w="4788" w:type="dxa"/>
          </w:tcPr>
          <w:p w14:paraId="49E509B0" w14:textId="77777777" w:rsidR="00CA3D13" w:rsidRDefault="00CA3D13" w:rsidP="00D312E3">
            <w:r>
              <w:t>Mike Gowell</w:t>
            </w:r>
          </w:p>
        </w:tc>
      </w:tr>
    </w:tbl>
    <w:p w14:paraId="1D6DB492" w14:textId="77777777" w:rsidR="00CA3D13" w:rsidRDefault="00CA3D13" w:rsidP="00CA3D13"/>
    <w:p w14:paraId="14B51717" w14:textId="77777777" w:rsidR="00CA3D13" w:rsidRDefault="00CA3D13" w:rsidP="00CA3D13">
      <w:r>
        <w:lastRenderedPageBreak/>
        <w:t>The company is divided into three operating divisions and one support division. These divisions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4"/>
        <w:gridCol w:w="3264"/>
        <w:gridCol w:w="2908"/>
      </w:tblGrid>
      <w:tr w:rsidR="00CA3D13" w14:paraId="1AE7A418" w14:textId="77777777" w:rsidTr="00D312E3">
        <w:tc>
          <w:tcPr>
            <w:tcW w:w="3404" w:type="dxa"/>
          </w:tcPr>
          <w:p w14:paraId="02437CDD" w14:textId="77777777" w:rsidR="00CA3D13" w:rsidRPr="00127679" w:rsidRDefault="00CA3D13" w:rsidP="00D312E3">
            <w:pPr>
              <w:rPr>
                <w:b/>
              </w:rPr>
            </w:pPr>
            <w:r w:rsidRPr="00127679">
              <w:rPr>
                <w:b/>
              </w:rPr>
              <w:t>Division</w:t>
            </w:r>
          </w:p>
        </w:tc>
        <w:tc>
          <w:tcPr>
            <w:tcW w:w="3264" w:type="dxa"/>
          </w:tcPr>
          <w:p w14:paraId="7219E3E7" w14:textId="77777777" w:rsidR="00CA3D13" w:rsidRPr="00127679" w:rsidRDefault="00787775" w:rsidP="00D312E3">
            <w:pPr>
              <w:rPr>
                <w:b/>
              </w:rPr>
            </w:pPr>
            <w:r>
              <w:rPr>
                <w:b/>
              </w:rPr>
              <w:t xml:space="preserve">Vice </w:t>
            </w:r>
            <w:r w:rsidR="00CA3D13" w:rsidRPr="00127679">
              <w:rPr>
                <w:b/>
              </w:rPr>
              <w:t>President in Charge</w:t>
            </w:r>
          </w:p>
        </w:tc>
        <w:tc>
          <w:tcPr>
            <w:tcW w:w="2908" w:type="dxa"/>
          </w:tcPr>
          <w:p w14:paraId="664908E8" w14:textId="77777777" w:rsidR="00CA3D13" w:rsidRPr="00127679" w:rsidRDefault="00CA3D13" w:rsidP="00D312E3">
            <w:pPr>
              <w:rPr>
                <w:b/>
              </w:rPr>
            </w:pPr>
            <w:r>
              <w:rPr>
                <w:b/>
              </w:rPr>
              <w:t>Reports to</w:t>
            </w:r>
          </w:p>
        </w:tc>
      </w:tr>
      <w:tr w:rsidR="00CA3D13" w14:paraId="54FFCA9B" w14:textId="77777777" w:rsidTr="00D312E3">
        <w:tc>
          <w:tcPr>
            <w:tcW w:w="3404" w:type="dxa"/>
          </w:tcPr>
          <w:p w14:paraId="438EF134" w14:textId="77777777" w:rsidR="00CA3D13" w:rsidRDefault="00CA3D13" w:rsidP="00D312E3">
            <w:r>
              <w:t>Business Development</w:t>
            </w:r>
          </w:p>
        </w:tc>
        <w:tc>
          <w:tcPr>
            <w:tcW w:w="3264" w:type="dxa"/>
          </w:tcPr>
          <w:p w14:paraId="5DC8327A" w14:textId="77777777" w:rsidR="00CA3D13" w:rsidRDefault="00CA3D13" w:rsidP="00D312E3">
            <w:r>
              <w:t>John Leary</w:t>
            </w:r>
          </w:p>
        </w:tc>
        <w:tc>
          <w:tcPr>
            <w:tcW w:w="2908" w:type="dxa"/>
          </w:tcPr>
          <w:p w14:paraId="6445634F" w14:textId="77777777" w:rsidR="00CA3D13" w:rsidRDefault="00CA3D13" w:rsidP="00D312E3">
            <w:r>
              <w:t>Mike Gowell</w:t>
            </w:r>
          </w:p>
        </w:tc>
      </w:tr>
      <w:tr w:rsidR="00CA3D13" w14:paraId="25C134ED" w14:textId="77777777" w:rsidTr="00D312E3">
        <w:tc>
          <w:tcPr>
            <w:tcW w:w="3404" w:type="dxa"/>
          </w:tcPr>
          <w:p w14:paraId="740C6E47" w14:textId="77777777" w:rsidR="00CA3D13" w:rsidRDefault="00CA3D13" w:rsidP="00D312E3">
            <w:r>
              <w:t>Product Development</w:t>
            </w:r>
          </w:p>
        </w:tc>
        <w:tc>
          <w:tcPr>
            <w:tcW w:w="3264" w:type="dxa"/>
          </w:tcPr>
          <w:p w14:paraId="1BEF8F0F" w14:textId="77777777" w:rsidR="00CA3D13" w:rsidRDefault="00CA3D13" w:rsidP="00D312E3">
            <w:r>
              <w:t>Randy Cowell</w:t>
            </w:r>
          </w:p>
        </w:tc>
        <w:tc>
          <w:tcPr>
            <w:tcW w:w="2908" w:type="dxa"/>
          </w:tcPr>
          <w:p w14:paraId="504FF044" w14:textId="77777777" w:rsidR="00CA3D13" w:rsidRDefault="00CA3D13" w:rsidP="00D312E3">
            <w:r>
              <w:t>Mike Gowell</w:t>
            </w:r>
          </w:p>
        </w:tc>
      </w:tr>
      <w:tr w:rsidR="00CA3D13" w14:paraId="5F63FC24" w14:textId="77777777" w:rsidTr="00D312E3">
        <w:tc>
          <w:tcPr>
            <w:tcW w:w="3404" w:type="dxa"/>
          </w:tcPr>
          <w:p w14:paraId="001821DF" w14:textId="77777777" w:rsidR="00CA3D13" w:rsidRDefault="00CA3D13" w:rsidP="00D312E3">
            <w:r>
              <w:t>Supply Chain</w:t>
            </w:r>
          </w:p>
        </w:tc>
        <w:tc>
          <w:tcPr>
            <w:tcW w:w="3264" w:type="dxa"/>
          </w:tcPr>
          <w:p w14:paraId="38D81D36" w14:textId="77777777" w:rsidR="00CA3D13" w:rsidRDefault="00CA3D13" w:rsidP="00D312E3">
            <w:r>
              <w:t>David Carr</w:t>
            </w:r>
          </w:p>
        </w:tc>
        <w:tc>
          <w:tcPr>
            <w:tcW w:w="2908" w:type="dxa"/>
          </w:tcPr>
          <w:p w14:paraId="55E5791C" w14:textId="77777777" w:rsidR="00CA3D13" w:rsidRDefault="00CA3D13" w:rsidP="00D312E3">
            <w:r>
              <w:t>Mike Gowell</w:t>
            </w:r>
          </w:p>
        </w:tc>
      </w:tr>
      <w:tr w:rsidR="00CA3D13" w14:paraId="786AA829" w14:textId="77777777" w:rsidTr="00D312E3">
        <w:tc>
          <w:tcPr>
            <w:tcW w:w="3404" w:type="dxa"/>
          </w:tcPr>
          <w:p w14:paraId="19CCCA2C" w14:textId="77777777" w:rsidR="00CA3D13" w:rsidRDefault="00CA3D13" w:rsidP="00D312E3">
            <w:r>
              <w:t>Corporate and Support Services</w:t>
            </w:r>
          </w:p>
        </w:tc>
        <w:tc>
          <w:tcPr>
            <w:tcW w:w="3264" w:type="dxa"/>
          </w:tcPr>
          <w:p w14:paraId="6074AC56" w14:textId="77777777" w:rsidR="00CA3D13" w:rsidRDefault="00CA3D13" w:rsidP="00D312E3">
            <w:r>
              <w:t>Yvette Moon</w:t>
            </w:r>
          </w:p>
        </w:tc>
        <w:tc>
          <w:tcPr>
            <w:tcW w:w="2908" w:type="dxa"/>
          </w:tcPr>
          <w:p w14:paraId="77043B7A" w14:textId="77777777" w:rsidR="00CA3D13" w:rsidRDefault="007B2E66" w:rsidP="00D312E3">
            <w:r>
              <w:t>Michael Charney</w:t>
            </w:r>
          </w:p>
        </w:tc>
      </w:tr>
    </w:tbl>
    <w:p w14:paraId="2EC21C04" w14:textId="77777777" w:rsidR="00CA3D13" w:rsidRDefault="00CA3D13" w:rsidP="00CA3D13">
      <w:pPr>
        <w:rPr>
          <w:b/>
          <w:u w:val="single"/>
        </w:rPr>
      </w:pPr>
    </w:p>
    <w:p w14:paraId="67B98750" w14:textId="77777777" w:rsidR="00CA3D13" w:rsidRDefault="00CA3D13" w:rsidP="00CA3D13">
      <w:r w:rsidRPr="004F1E01">
        <w:rPr>
          <w:b/>
          <w:u w:val="single"/>
        </w:rPr>
        <w:t>Business Development (BD</w:t>
      </w:r>
      <w:r>
        <w:rPr>
          <w:b/>
          <w:u w:val="single"/>
        </w:rPr>
        <w:t>EV</w:t>
      </w:r>
      <w:r w:rsidRPr="004F1E01">
        <w:rPr>
          <w:b/>
          <w:u w:val="single"/>
        </w:rPr>
        <w:t>)</w:t>
      </w:r>
      <w:r>
        <w:t xml:space="preserve"> serves as the marketing and sales arm of the organization. There are </w:t>
      </w:r>
      <w:r w:rsidR="00787775">
        <w:t>four</w:t>
      </w:r>
      <w:r>
        <w:t xml:space="preserve"> groups within this division. </w:t>
      </w:r>
    </w:p>
    <w:p w14:paraId="5388FB4D" w14:textId="77777777" w:rsidR="00CA3D13" w:rsidRDefault="00CA3D13" w:rsidP="00CA3D13">
      <w:pPr>
        <w:pStyle w:val="ListParagraph"/>
        <w:numPr>
          <w:ilvl w:val="0"/>
          <w:numId w:val="24"/>
        </w:numPr>
      </w:pPr>
      <w:r w:rsidRPr="00127679">
        <w:rPr>
          <w:b/>
          <w:i/>
        </w:rPr>
        <w:t>Public Relations</w:t>
      </w:r>
      <w:r w:rsidRPr="00127679">
        <w:rPr>
          <w:i/>
        </w:rPr>
        <w:t xml:space="preserve"> </w:t>
      </w:r>
      <w:r>
        <w:t>is responsible for ensuring that CPI</w:t>
      </w:r>
      <w:r w:rsidR="00787775">
        <w:t>’s</w:t>
      </w:r>
      <w:r>
        <w:t xml:space="preserve"> branding and messaging </w:t>
      </w:r>
      <w:r w:rsidR="00787775">
        <w:t>are</w:t>
      </w:r>
      <w:r>
        <w:t xml:space="preserve"> consistent. </w:t>
      </w:r>
      <w:r w:rsidR="007B2E66">
        <w:t>Kathy Pratt</w:t>
      </w:r>
      <w:r w:rsidR="00AD48A2">
        <w:t>,</w:t>
      </w:r>
      <w:r>
        <w:t xml:space="preserve"> the Director of Public Relations</w:t>
      </w:r>
      <w:r w:rsidR="00AD48A2">
        <w:t>,</w:t>
      </w:r>
      <w:r>
        <w:t xml:space="preserve"> report</w:t>
      </w:r>
      <w:r w:rsidR="00AD48A2">
        <w:t>s</w:t>
      </w:r>
      <w:r>
        <w:t xml:space="preserve"> to John Leary.</w:t>
      </w:r>
    </w:p>
    <w:p w14:paraId="491DA0C0" w14:textId="77777777" w:rsidR="00CA3D13" w:rsidRDefault="00CA3D13" w:rsidP="00CA3D13">
      <w:pPr>
        <w:pStyle w:val="ListParagraph"/>
        <w:numPr>
          <w:ilvl w:val="0"/>
          <w:numId w:val="24"/>
        </w:numPr>
      </w:pPr>
      <w:r w:rsidRPr="00127679">
        <w:rPr>
          <w:b/>
          <w:i/>
        </w:rPr>
        <w:t xml:space="preserve">Marketing </w:t>
      </w:r>
      <w:r>
        <w:t>handles all advertising for the organization in print, television, and other media. Sarah Myers</w:t>
      </w:r>
      <w:r w:rsidR="00AD48A2">
        <w:t>,</w:t>
      </w:r>
      <w:r>
        <w:t xml:space="preserve"> </w:t>
      </w:r>
      <w:r w:rsidR="00AD48A2">
        <w:t xml:space="preserve">the </w:t>
      </w:r>
      <w:r>
        <w:t>Director of Marketing</w:t>
      </w:r>
      <w:r w:rsidR="00AD48A2">
        <w:t>,</w:t>
      </w:r>
      <w:r>
        <w:t xml:space="preserve"> report</w:t>
      </w:r>
      <w:r w:rsidR="00AD48A2">
        <w:t>s</w:t>
      </w:r>
      <w:r>
        <w:t xml:space="preserve"> to John Leary.</w:t>
      </w:r>
    </w:p>
    <w:p w14:paraId="10ACAF2F" w14:textId="57945702" w:rsidR="00CA3D13" w:rsidRDefault="005C51EA" w:rsidP="00CA3D13">
      <w:pPr>
        <w:pStyle w:val="ListParagraph"/>
        <w:numPr>
          <w:ilvl w:val="0"/>
          <w:numId w:val="24"/>
        </w:numPr>
      </w:pPr>
      <w:r w:rsidRPr="00127679">
        <w:rPr>
          <w:b/>
          <w:i/>
        </w:rPr>
        <w:t>Sales</w:t>
      </w:r>
      <w:r>
        <w:rPr>
          <w:b/>
          <w:i/>
        </w:rPr>
        <w:t xml:space="preserve"> </w:t>
      </w:r>
      <w:r w:rsidRPr="005C51EA">
        <w:t>comprise</w:t>
      </w:r>
      <w:r w:rsidR="00773C3A">
        <w:t>s</w:t>
      </w:r>
      <w:r w:rsidR="00CA3D13">
        <w:t xml:space="preserve"> a large team of sales representatives whose primary job is to capture and expand market share. Randy Nelson</w:t>
      </w:r>
      <w:r w:rsidR="00AD48A2">
        <w:t>,</w:t>
      </w:r>
      <w:r w:rsidR="00CA3D13">
        <w:t xml:space="preserve"> the Director of Sales</w:t>
      </w:r>
      <w:r w:rsidR="00AD48A2">
        <w:t>,</w:t>
      </w:r>
      <w:r w:rsidR="00CA3D13">
        <w:t xml:space="preserve"> report</w:t>
      </w:r>
      <w:r w:rsidR="00AD48A2">
        <w:t>s</w:t>
      </w:r>
      <w:r w:rsidR="00CA3D13">
        <w:t xml:space="preserve"> to John Leary.</w:t>
      </w:r>
    </w:p>
    <w:p w14:paraId="4BC951D9" w14:textId="77777777" w:rsidR="00CA3D13" w:rsidRPr="00532920" w:rsidRDefault="00CA3D13" w:rsidP="00CA3D13">
      <w:pPr>
        <w:pStyle w:val="ListParagraph"/>
        <w:numPr>
          <w:ilvl w:val="0"/>
          <w:numId w:val="24"/>
        </w:numPr>
      </w:pPr>
      <w:r w:rsidRPr="00127679">
        <w:rPr>
          <w:b/>
          <w:i/>
        </w:rPr>
        <w:t>Commercialization</w:t>
      </w:r>
      <w:r w:rsidRPr="00127679">
        <w:rPr>
          <w:b/>
        </w:rPr>
        <w:t xml:space="preserve"> </w:t>
      </w:r>
      <w:r w:rsidRPr="00532920">
        <w:t>establishes the pricing structures of the products to ensure that profit margins are maintained.</w:t>
      </w:r>
      <w:r>
        <w:t xml:space="preserve"> Doug Vlasak</w:t>
      </w:r>
      <w:r w:rsidR="00AD48A2">
        <w:t>, the</w:t>
      </w:r>
      <w:r>
        <w:t xml:space="preserve"> Director of Commercialization</w:t>
      </w:r>
      <w:r w:rsidR="00AD48A2">
        <w:t>,</w:t>
      </w:r>
      <w:r>
        <w:t xml:space="preserve"> report</w:t>
      </w:r>
      <w:r w:rsidR="00AD48A2">
        <w:t>s</w:t>
      </w:r>
      <w:r>
        <w:t xml:space="preserve"> to John Leary.</w:t>
      </w:r>
    </w:p>
    <w:p w14:paraId="0555DF62" w14:textId="77777777" w:rsidR="00CA3D13" w:rsidRDefault="00CA3D13" w:rsidP="00CA3D13">
      <w:r w:rsidRPr="004F1E01">
        <w:rPr>
          <w:b/>
          <w:u w:val="single"/>
        </w:rPr>
        <w:t>Product Development (PD</w:t>
      </w:r>
      <w:r>
        <w:rPr>
          <w:b/>
          <w:u w:val="single"/>
        </w:rPr>
        <w:t>EV</w:t>
      </w:r>
      <w:r w:rsidRPr="004F1E01">
        <w:rPr>
          <w:b/>
          <w:u w:val="single"/>
        </w:rPr>
        <w:t>)</w:t>
      </w:r>
      <w:r>
        <w:t xml:space="preserve"> is the backbone of the company’s operations. All products originate from this </w:t>
      </w:r>
      <w:r w:rsidR="0050074A">
        <w:t>d</w:t>
      </w:r>
      <w:r>
        <w:t xml:space="preserve">ivision. There are three groups within </w:t>
      </w:r>
      <w:r w:rsidR="0050074A">
        <w:t>PDEV</w:t>
      </w:r>
      <w:r>
        <w:t>.</w:t>
      </w:r>
    </w:p>
    <w:p w14:paraId="4A675525" w14:textId="77777777" w:rsidR="00CA3D13" w:rsidRDefault="00CA3D13" w:rsidP="00CA3D13">
      <w:pPr>
        <w:pStyle w:val="ListParagraph"/>
        <w:numPr>
          <w:ilvl w:val="0"/>
          <w:numId w:val="25"/>
        </w:numPr>
      </w:pPr>
      <w:r w:rsidRPr="00127679">
        <w:rPr>
          <w:b/>
          <w:i/>
        </w:rPr>
        <w:t>Quality Assurance</w:t>
      </w:r>
      <w:r>
        <w:t xml:space="preserve"> is responsible for ensuring all products meet defined quality and safety standards before being released for distribution. Elizabeth Quay</w:t>
      </w:r>
      <w:r w:rsidR="00AD48A2">
        <w:t>, the</w:t>
      </w:r>
      <w:r>
        <w:t xml:space="preserve"> Director of Quality Assurance</w:t>
      </w:r>
      <w:r w:rsidR="00AD48A2">
        <w:t>,</w:t>
      </w:r>
      <w:r>
        <w:t xml:space="preserve"> report</w:t>
      </w:r>
      <w:r w:rsidR="00AD48A2">
        <w:t>s</w:t>
      </w:r>
      <w:r>
        <w:t xml:space="preserve"> to Randy Cowell.</w:t>
      </w:r>
    </w:p>
    <w:p w14:paraId="793A3C29" w14:textId="77777777" w:rsidR="00CA3D13" w:rsidRDefault="00CA3D13" w:rsidP="00CA3D13">
      <w:pPr>
        <w:pStyle w:val="ListParagraph"/>
        <w:numPr>
          <w:ilvl w:val="0"/>
          <w:numId w:val="25"/>
        </w:numPr>
      </w:pPr>
      <w:r w:rsidRPr="00127679">
        <w:rPr>
          <w:b/>
          <w:i/>
        </w:rPr>
        <w:t>Research and Development</w:t>
      </w:r>
      <w:r>
        <w:t xml:space="preserve"> is responsible for growing the company’s product portfolio by seeking new product opportunities and enhancements. Toby DeRoche</w:t>
      </w:r>
      <w:r w:rsidR="00AD48A2">
        <w:t>, the</w:t>
      </w:r>
      <w:r>
        <w:t xml:space="preserve"> Research and Development Director</w:t>
      </w:r>
      <w:r w:rsidR="00AD48A2">
        <w:t>,</w:t>
      </w:r>
      <w:r>
        <w:t xml:space="preserve"> report</w:t>
      </w:r>
      <w:r w:rsidR="00AD48A2">
        <w:t>s</w:t>
      </w:r>
      <w:r>
        <w:t xml:space="preserve"> to Randy Cowell.</w:t>
      </w:r>
    </w:p>
    <w:p w14:paraId="4A22FB49" w14:textId="77777777" w:rsidR="00CA3D13" w:rsidRPr="004F1E01" w:rsidRDefault="00CA3D13" w:rsidP="00CA3D13">
      <w:pPr>
        <w:pStyle w:val="ListParagraph"/>
        <w:numPr>
          <w:ilvl w:val="0"/>
          <w:numId w:val="25"/>
        </w:numPr>
      </w:pPr>
      <w:r w:rsidRPr="00127679">
        <w:rPr>
          <w:b/>
          <w:i/>
        </w:rPr>
        <w:t>Manufacturing</w:t>
      </w:r>
      <w:r w:rsidRPr="00127679">
        <w:rPr>
          <w:b/>
        </w:rPr>
        <w:t xml:space="preserve"> </w:t>
      </w:r>
      <w:r>
        <w:t>is responsible for the day to day production of the company’s core products. Laura Dease</w:t>
      </w:r>
      <w:r w:rsidR="00AD48A2">
        <w:t>, the</w:t>
      </w:r>
      <w:r>
        <w:t xml:space="preserve"> Director of Manufacturing</w:t>
      </w:r>
      <w:r w:rsidR="00AD48A2">
        <w:t>,</w:t>
      </w:r>
      <w:r>
        <w:t xml:space="preserve"> report</w:t>
      </w:r>
      <w:r w:rsidR="00AD48A2">
        <w:t>s</w:t>
      </w:r>
      <w:r>
        <w:t xml:space="preserve"> to Randy Cowell.</w:t>
      </w:r>
    </w:p>
    <w:p w14:paraId="3B0F0C3E" w14:textId="77777777" w:rsidR="00CA3D13" w:rsidRDefault="00CA3D13" w:rsidP="00CA3D13">
      <w:r>
        <w:rPr>
          <w:b/>
          <w:u w:val="single"/>
        </w:rPr>
        <w:t xml:space="preserve">Supply </w:t>
      </w:r>
      <w:r w:rsidR="007C42E7">
        <w:rPr>
          <w:b/>
          <w:u w:val="single"/>
        </w:rPr>
        <w:t>Chain (</w:t>
      </w:r>
      <w:r>
        <w:rPr>
          <w:b/>
          <w:u w:val="single"/>
        </w:rPr>
        <w:t>SC</w:t>
      </w:r>
      <w:r w:rsidRPr="00016C39">
        <w:rPr>
          <w:u w:val="single"/>
        </w:rPr>
        <w:t>)</w:t>
      </w:r>
      <w:r>
        <w:t xml:space="preserve"> is an integral part of the company’s operations. The division is responsible for getting the product to the consumer. There are three groups within </w:t>
      </w:r>
      <w:r w:rsidR="0050074A">
        <w:t>SC</w:t>
      </w:r>
      <w:r>
        <w:t>.</w:t>
      </w:r>
    </w:p>
    <w:p w14:paraId="4B556F81" w14:textId="77777777" w:rsidR="00CA3D13" w:rsidRPr="00D77242" w:rsidRDefault="00CA3D13" w:rsidP="00CA3D13">
      <w:pPr>
        <w:pStyle w:val="ListParagraph"/>
        <w:numPr>
          <w:ilvl w:val="0"/>
          <w:numId w:val="26"/>
        </w:numPr>
      </w:pPr>
      <w:r>
        <w:rPr>
          <w:b/>
          <w:i/>
        </w:rPr>
        <w:t xml:space="preserve">Procurement </w:t>
      </w:r>
      <w:r>
        <w:t xml:space="preserve">is responsible for ensuring that </w:t>
      </w:r>
      <w:r w:rsidR="009E6006">
        <w:t xml:space="preserve">the </w:t>
      </w:r>
      <w:r>
        <w:t xml:space="preserve">company has adequate resources </w:t>
      </w:r>
      <w:r w:rsidR="007C42E7">
        <w:t>for cost</w:t>
      </w:r>
      <w:r>
        <w:t xml:space="preserve"> effective operations. Albert Lezcano</w:t>
      </w:r>
      <w:r w:rsidR="009E6006">
        <w:t>, the</w:t>
      </w:r>
      <w:r>
        <w:t xml:space="preserve"> Procurement Director</w:t>
      </w:r>
      <w:r w:rsidR="009E6006">
        <w:t>,</w:t>
      </w:r>
      <w:r>
        <w:t xml:space="preserve"> reports to David Carr.</w:t>
      </w:r>
    </w:p>
    <w:p w14:paraId="27A37E8F" w14:textId="77777777" w:rsidR="00CA3D13" w:rsidRDefault="00CA3D13" w:rsidP="00CA3D13">
      <w:pPr>
        <w:pStyle w:val="ListParagraph"/>
        <w:numPr>
          <w:ilvl w:val="0"/>
          <w:numId w:val="26"/>
        </w:numPr>
      </w:pPr>
      <w:r w:rsidRPr="00127679">
        <w:rPr>
          <w:b/>
          <w:i/>
        </w:rPr>
        <w:t>Warehousing</w:t>
      </w:r>
      <w:r w:rsidRPr="00127679">
        <w:rPr>
          <w:i/>
        </w:rPr>
        <w:t xml:space="preserve"> </w:t>
      </w:r>
      <w:r>
        <w:t>is responsible the day to day management of the company’s inventory and product handling. Bobby Benninger</w:t>
      </w:r>
      <w:r w:rsidR="009E6006">
        <w:t>, the</w:t>
      </w:r>
      <w:r>
        <w:t xml:space="preserve"> Warehousing Manager</w:t>
      </w:r>
      <w:r w:rsidR="009E6006">
        <w:t>,</w:t>
      </w:r>
      <w:r>
        <w:t xml:space="preserve"> reports to David Carr.</w:t>
      </w:r>
    </w:p>
    <w:p w14:paraId="463AED7E" w14:textId="77777777" w:rsidR="00CA3D13" w:rsidRPr="004F1E01" w:rsidRDefault="007C42E7" w:rsidP="00CA3D13">
      <w:pPr>
        <w:pStyle w:val="ListParagraph"/>
        <w:numPr>
          <w:ilvl w:val="0"/>
          <w:numId w:val="26"/>
        </w:numPr>
      </w:pPr>
      <w:r w:rsidRPr="002D3F18">
        <w:rPr>
          <w:b/>
          <w:i/>
        </w:rPr>
        <w:t>Logistics</w:t>
      </w:r>
      <w:r w:rsidR="00CA3D13" w:rsidRPr="002D3F18">
        <w:rPr>
          <w:i/>
        </w:rPr>
        <w:t xml:space="preserve"> </w:t>
      </w:r>
      <w:r w:rsidR="00CA3D13" w:rsidRPr="004F1E01">
        <w:t>handles all</w:t>
      </w:r>
      <w:r w:rsidR="00CA3D13">
        <w:t xml:space="preserve"> product packaging and shipping of the company’s products to other locations, distribution centers</w:t>
      </w:r>
      <w:r w:rsidR="009E6006">
        <w:t>,</w:t>
      </w:r>
      <w:r w:rsidR="00CA3D13">
        <w:t xml:space="preserve"> and ultimately to the customer. Brad Lowery</w:t>
      </w:r>
      <w:r w:rsidR="009E6006">
        <w:t>, the</w:t>
      </w:r>
      <w:r w:rsidR="00CA3D13">
        <w:t xml:space="preserve"> Logistics Manager</w:t>
      </w:r>
      <w:r w:rsidR="009E6006">
        <w:t>,</w:t>
      </w:r>
      <w:r w:rsidR="00CA3D13">
        <w:t xml:space="preserve"> reports to David Carr.</w:t>
      </w:r>
    </w:p>
    <w:p w14:paraId="5DB5E7CB" w14:textId="77777777" w:rsidR="00CA3D13" w:rsidRDefault="00CA3D13" w:rsidP="00CA3D13">
      <w:r w:rsidRPr="00127679">
        <w:rPr>
          <w:b/>
          <w:u w:val="single"/>
        </w:rPr>
        <w:lastRenderedPageBreak/>
        <w:t>Corporate and Support Services (CSS)</w:t>
      </w:r>
      <w:r>
        <w:t xml:space="preserve"> comprises all of the functions not directly related to the company’s core business</w:t>
      </w:r>
      <w:r w:rsidR="006713BA">
        <w:t xml:space="preserve"> that</w:t>
      </w:r>
      <w:r>
        <w:t xml:space="preserve"> are critical to its success. There are four groups within </w:t>
      </w:r>
      <w:r w:rsidR="0050074A">
        <w:t>CSS</w:t>
      </w:r>
      <w:r>
        <w:t>.</w:t>
      </w:r>
    </w:p>
    <w:p w14:paraId="268A3B9A" w14:textId="77777777" w:rsidR="00CA3D13" w:rsidRDefault="00CA3D13" w:rsidP="00CA3D13">
      <w:pPr>
        <w:pStyle w:val="ListParagraph"/>
        <w:numPr>
          <w:ilvl w:val="0"/>
          <w:numId w:val="27"/>
        </w:numPr>
      </w:pPr>
      <w:r w:rsidRPr="00127679">
        <w:rPr>
          <w:b/>
          <w:i/>
        </w:rPr>
        <w:t>Finance</w:t>
      </w:r>
      <w:r w:rsidRPr="00127679">
        <w:rPr>
          <w:i/>
        </w:rPr>
        <w:t xml:space="preserve"> </w:t>
      </w:r>
      <w:r>
        <w:t xml:space="preserve">is responsible for the accounting and finance elements of the organization. Pam McCoy is Director of </w:t>
      </w:r>
      <w:r w:rsidR="006713BA">
        <w:t>F</w:t>
      </w:r>
      <w:r>
        <w:t>inance. Due to the nature of her role</w:t>
      </w:r>
      <w:r w:rsidR="006713BA">
        <w:t>,</w:t>
      </w:r>
      <w:r>
        <w:t xml:space="preserve"> she reports directly to </w:t>
      </w:r>
      <w:r w:rsidR="006713BA">
        <w:t xml:space="preserve">both </w:t>
      </w:r>
      <w:r>
        <w:t>the Chief Finance Officer</w:t>
      </w:r>
      <w:r w:rsidR="006713BA">
        <w:t xml:space="preserve">, </w:t>
      </w:r>
      <w:r w:rsidR="007B2E66">
        <w:t>Michael Charney</w:t>
      </w:r>
      <w:r w:rsidR="006713BA">
        <w:t>,</w:t>
      </w:r>
      <w:r>
        <w:t xml:space="preserve"> and Yvette Moon.</w:t>
      </w:r>
    </w:p>
    <w:p w14:paraId="201D4928" w14:textId="77777777" w:rsidR="00CA3D13" w:rsidRDefault="00CA3D13" w:rsidP="00CA3D13">
      <w:pPr>
        <w:pStyle w:val="ListParagraph"/>
        <w:numPr>
          <w:ilvl w:val="0"/>
          <w:numId w:val="27"/>
        </w:numPr>
      </w:pPr>
      <w:r w:rsidRPr="00127679">
        <w:rPr>
          <w:b/>
          <w:i/>
        </w:rPr>
        <w:t>Human Resources</w:t>
      </w:r>
      <w:r w:rsidRPr="00127679">
        <w:rPr>
          <w:i/>
        </w:rPr>
        <w:t xml:space="preserve"> </w:t>
      </w:r>
      <w:r>
        <w:t xml:space="preserve">is responsible for managing all personnel related matters </w:t>
      </w:r>
      <w:r w:rsidR="007C42E7">
        <w:t>throughout</w:t>
      </w:r>
      <w:r>
        <w:t xml:space="preserve"> the employment lifecycle. Marilynn Kessler</w:t>
      </w:r>
      <w:r w:rsidR="006713BA">
        <w:t>, the</w:t>
      </w:r>
      <w:r>
        <w:t xml:space="preserve"> Director</w:t>
      </w:r>
      <w:r w:rsidR="006713BA">
        <w:t xml:space="preserve"> of Human Resources,</w:t>
      </w:r>
      <w:r>
        <w:t xml:space="preserve"> reports to Yvette Moon.</w:t>
      </w:r>
    </w:p>
    <w:p w14:paraId="1E8C3E94" w14:textId="77777777" w:rsidR="00CA3D13" w:rsidRDefault="00CA3D13" w:rsidP="00CA3D13">
      <w:pPr>
        <w:pStyle w:val="ListParagraph"/>
        <w:numPr>
          <w:ilvl w:val="0"/>
          <w:numId w:val="27"/>
        </w:numPr>
      </w:pPr>
      <w:r w:rsidRPr="00127679">
        <w:rPr>
          <w:b/>
          <w:i/>
        </w:rPr>
        <w:t>Regulatory and Law</w:t>
      </w:r>
      <w:r w:rsidRPr="00127679">
        <w:rPr>
          <w:i/>
        </w:rPr>
        <w:t xml:space="preserve"> </w:t>
      </w:r>
      <w:r>
        <w:t xml:space="preserve">is responsible for ensuring that the company is compliant with all relevant laws and regulations governing the industry as well as </w:t>
      </w:r>
      <w:r w:rsidR="006713BA">
        <w:t xml:space="preserve">for </w:t>
      </w:r>
      <w:r>
        <w:t>hand</w:t>
      </w:r>
      <w:r w:rsidR="006713BA">
        <w:t>l</w:t>
      </w:r>
      <w:r>
        <w:t>ing any other legal matter</w:t>
      </w:r>
      <w:r w:rsidR="00213149">
        <w:t>s</w:t>
      </w:r>
      <w:r>
        <w:t>. Jennifer Esterheld</w:t>
      </w:r>
      <w:r w:rsidR="006713BA">
        <w:t>, the</w:t>
      </w:r>
      <w:r>
        <w:t xml:space="preserve"> Lead Counsel</w:t>
      </w:r>
      <w:r w:rsidR="006713BA">
        <w:t>,</w:t>
      </w:r>
      <w:r>
        <w:t xml:space="preserve"> reports to Yvette Moon.</w:t>
      </w:r>
    </w:p>
    <w:p w14:paraId="05496C57" w14:textId="77777777" w:rsidR="00CA3D13" w:rsidRPr="00127679" w:rsidRDefault="00CA3D13" w:rsidP="00CA3D13">
      <w:pPr>
        <w:pStyle w:val="ListParagraph"/>
        <w:numPr>
          <w:ilvl w:val="0"/>
          <w:numId w:val="27"/>
        </w:numPr>
        <w:rPr>
          <w:rFonts w:ascii="Times New Roman" w:hAnsi="Times New Roman"/>
        </w:rPr>
      </w:pPr>
      <w:r w:rsidRPr="00127679">
        <w:rPr>
          <w:b/>
          <w:i/>
        </w:rPr>
        <w:t>Information Technology</w:t>
      </w:r>
      <w:r>
        <w:t xml:space="preserve"> is responsible for all aspects of the company’s information technology management. Stuart Mullen</w:t>
      </w:r>
      <w:r w:rsidR="006713BA">
        <w:t>, the</w:t>
      </w:r>
      <w:r>
        <w:t xml:space="preserve"> Director of Information Technology</w:t>
      </w:r>
      <w:r w:rsidR="006713BA">
        <w:t>,</w:t>
      </w:r>
      <w:r>
        <w:t xml:space="preserve"> reports to Yvette Moon.</w:t>
      </w:r>
    </w:p>
    <w:p w14:paraId="29A3FDAD" w14:textId="77777777" w:rsidR="00CA3D13" w:rsidRPr="00CB741B" w:rsidRDefault="00213149" w:rsidP="00CA3D13">
      <w:pPr>
        <w:pStyle w:val="Heading2"/>
      </w:pPr>
      <w:bookmarkStart w:id="14" w:name="_Toc331753446"/>
      <w:bookmarkStart w:id="15" w:name="_Toc334804069"/>
      <w:bookmarkStart w:id="16" w:name="_GoBack"/>
      <w:bookmarkEnd w:id="16"/>
      <w:r>
        <w:t xml:space="preserve">The </w:t>
      </w:r>
      <w:r w:rsidR="00CA3D13">
        <w:t>Internal Audit</w:t>
      </w:r>
      <w:r>
        <w:t xml:space="preserve"> Function</w:t>
      </w:r>
      <w:bookmarkEnd w:id="14"/>
      <w:bookmarkEnd w:id="15"/>
    </w:p>
    <w:p w14:paraId="13479F48" w14:textId="77777777" w:rsidR="00CA3D13" w:rsidRPr="00D74DDB" w:rsidRDefault="00526F9D" w:rsidP="00480835">
      <w:pPr>
        <w:pStyle w:val="NormalWeb"/>
        <w:spacing w:before="105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213149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I’s </w:t>
      </w:r>
      <w:r w:rsidR="00757DE6" w:rsidRPr="00757DE6">
        <w:rPr>
          <w:rFonts w:asciiTheme="minorHAnsi" w:hAnsiTheme="minorHAnsi" w:cstheme="minorHAnsi"/>
          <w:sz w:val="22"/>
          <w:szCs w:val="22"/>
        </w:rPr>
        <w:t xml:space="preserve">Internal Audit </w:t>
      </w:r>
      <w:r w:rsidR="00213149">
        <w:rPr>
          <w:rFonts w:asciiTheme="minorHAnsi" w:hAnsiTheme="minorHAnsi" w:cstheme="minorHAnsi"/>
          <w:sz w:val="22"/>
          <w:szCs w:val="22"/>
        </w:rPr>
        <w:t>Function</w:t>
      </w:r>
      <w:r>
        <w:rPr>
          <w:rFonts w:asciiTheme="minorHAnsi" w:hAnsiTheme="minorHAnsi" w:cstheme="minorHAnsi"/>
          <w:sz w:val="22"/>
          <w:szCs w:val="22"/>
        </w:rPr>
        <w:t xml:space="preserve"> is housed</w:t>
      </w:r>
      <w:r w:rsidR="00963F73" w:rsidRPr="00963F73">
        <w:rPr>
          <w:rFonts w:asciiTheme="minorHAnsi" w:hAnsiTheme="minorHAnsi" w:cstheme="minorHAnsi"/>
          <w:sz w:val="22"/>
          <w:szCs w:val="22"/>
        </w:rPr>
        <w:t xml:space="preserve"> within the Finance group of the CSS Division. Chief Audit Executive, </w:t>
      </w:r>
      <w:r w:rsidR="00F03799">
        <w:rPr>
          <w:rFonts w:asciiTheme="minorHAnsi" w:hAnsiTheme="minorHAnsi" w:cstheme="minorHAnsi"/>
          <w:sz w:val="22"/>
          <w:szCs w:val="22"/>
        </w:rPr>
        <w:t>Chris Ryley</w:t>
      </w:r>
      <w:r w:rsidR="00963F73" w:rsidRPr="00963F73">
        <w:rPr>
          <w:rFonts w:asciiTheme="minorHAnsi" w:hAnsiTheme="minorHAnsi" w:cstheme="minorHAnsi"/>
          <w:sz w:val="22"/>
          <w:szCs w:val="22"/>
        </w:rPr>
        <w:t xml:space="preserve">, has a functional reporting line to </w:t>
      </w:r>
      <w:r w:rsidR="007B2E66">
        <w:rPr>
          <w:rFonts w:asciiTheme="minorHAnsi" w:hAnsiTheme="minorHAnsi" w:cstheme="minorHAnsi"/>
          <w:sz w:val="22"/>
          <w:szCs w:val="22"/>
        </w:rPr>
        <w:t>Michael Charney</w:t>
      </w:r>
      <w:r w:rsidR="00963F73" w:rsidRPr="00963F73">
        <w:rPr>
          <w:rFonts w:asciiTheme="minorHAnsi" w:hAnsiTheme="minorHAnsi" w:cstheme="minorHAnsi"/>
          <w:sz w:val="22"/>
          <w:szCs w:val="22"/>
        </w:rPr>
        <w:t xml:space="preserve">, the Chief Finance Officer, but </w:t>
      </w:r>
      <w:r w:rsidR="00576E8E">
        <w:rPr>
          <w:rFonts w:asciiTheme="minorHAnsi" w:hAnsiTheme="minorHAnsi" w:cstheme="minorHAnsi"/>
          <w:sz w:val="22"/>
          <w:szCs w:val="22"/>
        </w:rPr>
        <w:t xml:space="preserve">also </w:t>
      </w:r>
      <w:r w:rsidR="00963F73" w:rsidRPr="00963F73">
        <w:rPr>
          <w:rFonts w:asciiTheme="minorHAnsi" w:hAnsiTheme="minorHAnsi" w:cstheme="minorHAnsi"/>
          <w:sz w:val="22"/>
          <w:szCs w:val="22"/>
        </w:rPr>
        <w:t xml:space="preserve">reports directly to the Board of Directors and Audit Committee. All </w:t>
      </w:r>
      <w:r w:rsidR="00213149">
        <w:rPr>
          <w:rFonts w:asciiTheme="minorHAnsi" w:hAnsiTheme="minorHAnsi" w:cstheme="minorHAnsi"/>
          <w:sz w:val="22"/>
          <w:szCs w:val="22"/>
        </w:rPr>
        <w:t xml:space="preserve">internal </w:t>
      </w:r>
      <w:r w:rsidR="00963F73" w:rsidRPr="00963F73">
        <w:rPr>
          <w:rFonts w:asciiTheme="minorHAnsi" w:hAnsiTheme="minorHAnsi" w:cstheme="minorHAnsi"/>
          <w:sz w:val="22"/>
          <w:szCs w:val="22"/>
        </w:rPr>
        <w:t xml:space="preserve">auditors are based in the Chicago home office. </w:t>
      </w:r>
    </w:p>
    <w:p w14:paraId="3DB640EF" w14:textId="77777777" w:rsidR="00A16E31" w:rsidRDefault="00A16E31" w:rsidP="00A9235B">
      <w:pPr>
        <w:jc w:val="left"/>
      </w:pPr>
    </w:p>
    <w:sectPr w:rsidR="00A16E31" w:rsidSect="00445A08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B2E60" w14:textId="77777777" w:rsidR="00F9591E" w:rsidRDefault="00F9591E" w:rsidP="00DB602D">
      <w:pPr>
        <w:spacing w:after="0" w:line="240" w:lineRule="auto"/>
      </w:pPr>
      <w:r>
        <w:separator/>
      </w:r>
    </w:p>
  </w:endnote>
  <w:endnote w:type="continuationSeparator" w:id="0">
    <w:p w14:paraId="5D568790" w14:textId="77777777" w:rsidR="00F9591E" w:rsidRDefault="00F9591E" w:rsidP="00DB6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2873"/>
      <w:gridCol w:w="6703"/>
    </w:tblGrid>
    <w:tr w:rsidR="008C770A" w14:paraId="58FB5A7D" w14:textId="77777777" w:rsidTr="00445A08">
      <w:trPr>
        <w:trHeight w:val="360"/>
      </w:trPr>
      <w:tc>
        <w:tcPr>
          <w:tcW w:w="1500" w:type="pct"/>
          <w:shd w:val="clear" w:color="auto" w:fill="4F81BD" w:themeFill="accent1"/>
        </w:tcPr>
        <w:p w14:paraId="207F7B05" w14:textId="77777777" w:rsidR="008C770A" w:rsidRDefault="007D7953">
          <w:pPr>
            <w:pStyle w:val="Footer"/>
            <w:rPr>
              <w:color w:val="FFFFFF" w:themeColor="background1"/>
            </w:rPr>
          </w:pPr>
          <w:r>
            <w:fldChar w:fldCharType="begin"/>
          </w:r>
          <w:r w:rsidR="008C770A">
            <w:instrText xml:space="preserve"> PAGE   \* MERGEFORMAT </w:instrText>
          </w:r>
          <w:r>
            <w:fldChar w:fldCharType="separate"/>
          </w:r>
          <w:r w:rsidR="00687A64" w:rsidRPr="00687A64">
            <w:rPr>
              <w:noProof/>
              <w:color w:val="FFFFFF" w:themeColor="background1"/>
            </w:rPr>
            <w:t>4</w:t>
          </w:r>
          <w:r>
            <w:rPr>
              <w:noProof/>
              <w:color w:val="FFFFFF" w:themeColor="background1"/>
            </w:rPr>
            <w:fldChar w:fldCharType="end"/>
          </w:r>
        </w:p>
      </w:tc>
      <w:tc>
        <w:tcPr>
          <w:tcW w:w="3500" w:type="pct"/>
        </w:tcPr>
        <w:p w14:paraId="559F3D31" w14:textId="77777777" w:rsidR="008C770A" w:rsidRDefault="008C770A">
          <w:pPr>
            <w:pStyle w:val="Footer"/>
          </w:pPr>
        </w:p>
      </w:tc>
    </w:tr>
  </w:tbl>
  <w:p w14:paraId="3DCB5782" w14:textId="77777777" w:rsidR="008C770A" w:rsidRDefault="008C77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64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5919"/>
      <w:gridCol w:w="4163"/>
    </w:tblGrid>
    <w:tr w:rsidR="008C770A" w14:paraId="034AC906" w14:textId="77777777" w:rsidTr="00445A08">
      <w:trPr>
        <w:trHeight w:val="457"/>
      </w:trPr>
      <w:tc>
        <w:tcPr>
          <w:tcW w:w="3500" w:type="pct"/>
        </w:tcPr>
        <w:p w14:paraId="50798066" w14:textId="77777777" w:rsidR="008C770A" w:rsidRDefault="008C770A">
          <w:pPr>
            <w:pStyle w:val="Footer"/>
            <w:jc w:val="right"/>
          </w:pPr>
        </w:p>
      </w:tc>
      <w:tc>
        <w:tcPr>
          <w:tcW w:w="1500" w:type="pct"/>
          <w:shd w:val="clear" w:color="auto" w:fill="4F81BD" w:themeFill="accent1"/>
        </w:tcPr>
        <w:p w14:paraId="603F9BD9" w14:textId="77777777" w:rsidR="008C770A" w:rsidRDefault="00D35079" w:rsidP="00445A08">
          <w:pPr>
            <w:pStyle w:val="Footer"/>
            <w:tabs>
              <w:tab w:val="right" w:pos="3946"/>
            </w:tabs>
            <w:rPr>
              <w:color w:val="FFFFFF" w:themeColor="background1"/>
            </w:rPr>
          </w:pPr>
          <w:r>
            <w:tab/>
          </w:r>
          <w:r w:rsidR="007D7953">
            <w:fldChar w:fldCharType="begin"/>
          </w:r>
          <w:r w:rsidR="008C770A">
            <w:instrText xml:space="preserve"> PAGE    \* MERGEFORMAT </w:instrText>
          </w:r>
          <w:r w:rsidR="007D7953">
            <w:fldChar w:fldCharType="separate"/>
          </w:r>
          <w:r w:rsidR="00687A64" w:rsidRPr="00687A64">
            <w:rPr>
              <w:noProof/>
              <w:color w:val="FFFFFF" w:themeColor="background1"/>
            </w:rPr>
            <w:t>3</w:t>
          </w:r>
          <w:r w:rsidR="007D7953">
            <w:rPr>
              <w:noProof/>
              <w:color w:val="FFFFFF" w:themeColor="background1"/>
            </w:rPr>
            <w:fldChar w:fldCharType="end"/>
          </w:r>
        </w:p>
      </w:tc>
    </w:tr>
  </w:tbl>
  <w:p w14:paraId="670EA1F3" w14:textId="77777777" w:rsidR="008C770A" w:rsidRDefault="008C77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AE1EA" w14:textId="77777777" w:rsidR="00F9591E" w:rsidRDefault="00F9591E" w:rsidP="00DB602D">
      <w:pPr>
        <w:spacing w:after="0" w:line="240" w:lineRule="auto"/>
      </w:pPr>
      <w:r>
        <w:separator/>
      </w:r>
    </w:p>
  </w:footnote>
  <w:footnote w:type="continuationSeparator" w:id="0">
    <w:p w14:paraId="04CA3C7B" w14:textId="77777777" w:rsidR="00F9591E" w:rsidRDefault="00F9591E" w:rsidP="00DB6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1436"/>
      <w:gridCol w:w="8140"/>
    </w:tblGrid>
    <w:tr w:rsidR="008C770A" w14:paraId="1194963A" w14:textId="77777777" w:rsidTr="00445A08">
      <w:trPr>
        <w:trHeight w:val="475"/>
      </w:trPr>
      <w:tc>
        <w:tcPr>
          <w:tcW w:w="750" w:type="pct"/>
          <w:shd w:val="clear" w:color="auto" w:fill="000000" w:themeFill="text1"/>
        </w:tcPr>
        <w:p w14:paraId="0050346F" w14:textId="77777777" w:rsidR="008C770A" w:rsidRDefault="008C770A">
          <w:pPr>
            <w:pStyle w:val="Header"/>
            <w:rPr>
              <w:color w:val="FFFFFF" w:themeColor="background1"/>
            </w:rPr>
          </w:pPr>
        </w:p>
      </w:tc>
      <w:sdt>
        <w:sdtPr>
          <w:rPr>
            <w:caps/>
            <w:color w:val="FFFFFF" w:themeColor="background1"/>
          </w:rPr>
          <w:alias w:val="Title"/>
          <w:id w:val="-533500598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4F81BD" w:themeFill="accent1"/>
              <w:vAlign w:val="center"/>
            </w:tcPr>
            <w:p w14:paraId="1FF83EF9" w14:textId="77777777" w:rsidR="008C770A" w:rsidRDefault="008C770A">
              <w:pPr>
                <w:pStyle w:val="Header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Champion Pharmaceuticals, Inc.</w:t>
              </w:r>
            </w:p>
          </w:tc>
        </w:sdtContent>
      </w:sdt>
    </w:tr>
  </w:tbl>
  <w:p w14:paraId="0C53E0AD" w14:textId="77777777" w:rsidR="008C770A" w:rsidRDefault="008C77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7" w:type="pct"/>
      <w:tblLook w:val="04A0" w:firstRow="1" w:lastRow="0" w:firstColumn="1" w:lastColumn="0" w:noHBand="0" w:noVBand="1"/>
    </w:tblPr>
    <w:tblGrid>
      <w:gridCol w:w="8412"/>
      <w:gridCol w:w="1484"/>
    </w:tblGrid>
    <w:tr w:rsidR="008C770A" w14:paraId="02C18ED9" w14:textId="77777777" w:rsidTr="00445A08">
      <w:trPr>
        <w:trHeight w:val="517"/>
      </w:trPr>
      <w:sdt>
        <w:sdtPr>
          <w:rPr>
            <w:caps/>
            <w:color w:val="FFFFFF" w:themeColor="background1"/>
          </w:rPr>
          <w:alias w:val="Title"/>
          <w:id w:val="394939197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4F81BD" w:themeFill="accent1"/>
              <w:vAlign w:val="center"/>
            </w:tcPr>
            <w:p w14:paraId="6F867187" w14:textId="77777777" w:rsidR="008C770A" w:rsidRDefault="008C770A" w:rsidP="003C3E0E">
              <w:pPr>
                <w:pStyle w:val="Header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Champion Pharmaceuticals, Inc.</w:t>
              </w:r>
            </w:p>
          </w:tc>
        </w:sdtContent>
      </w:sdt>
      <w:tc>
        <w:tcPr>
          <w:tcW w:w="750" w:type="pct"/>
          <w:shd w:val="clear" w:color="auto" w:fill="000000" w:themeFill="text1"/>
          <w:vAlign w:val="center"/>
        </w:tcPr>
        <w:p w14:paraId="13BE3345" w14:textId="77777777" w:rsidR="008C770A" w:rsidRDefault="008C770A" w:rsidP="003C3E0E">
          <w:pPr>
            <w:pStyle w:val="Header"/>
            <w:jc w:val="right"/>
            <w:rPr>
              <w:color w:val="FFFFFF" w:themeColor="background1"/>
            </w:rPr>
          </w:pPr>
        </w:p>
      </w:tc>
    </w:tr>
  </w:tbl>
  <w:p w14:paraId="5691D7D3" w14:textId="77777777" w:rsidR="008C770A" w:rsidRDefault="008C77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0B5E"/>
    <w:multiLevelType w:val="hybridMultilevel"/>
    <w:tmpl w:val="74B6C8DA"/>
    <w:lvl w:ilvl="0" w:tplc="731C604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A1342E"/>
    <w:multiLevelType w:val="hybridMultilevel"/>
    <w:tmpl w:val="06568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C2915"/>
    <w:multiLevelType w:val="hybridMultilevel"/>
    <w:tmpl w:val="1D76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569DD"/>
    <w:multiLevelType w:val="hybridMultilevel"/>
    <w:tmpl w:val="0CFC8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0474"/>
    <w:multiLevelType w:val="hybridMultilevel"/>
    <w:tmpl w:val="2A86E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D491F"/>
    <w:multiLevelType w:val="hybridMultilevel"/>
    <w:tmpl w:val="E5FCB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6293A"/>
    <w:multiLevelType w:val="hybridMultilevel"/>
    <w:tmpl w:val="C282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74DD9"/>
    <w:multiLevelType w:val="hybridMultilevel"/>
    <w:tmpl w:val="84BA7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0267C"/>
    <w:multiLevelType w:val="hybridMultilevel"/>
    <w:tmpl w:val="2F96D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47C73"/>
    <w:multiLevelType w:val="hybridMultilevel"/>
    <w:tmpl w:val="E4EE27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D62A80"/>
    <w:multiLevelType w:val="hybridMultilevel"/>
    <w:tmpl w:val="530C7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A5927"/>
    <w:multiLevelType w:val="hybridMultilevel"/>
    <w:tmpl w:val="E0385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76C26"/>
    <w:multiLevelType w:val="hybridMultilevel"/>
    <w:tmpl w:val="17662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C7C9D"/>
    <w:multiLevelType w:val="hybridMultilevel"/>
    <w:tmpl w:val="1AB4B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D71C7"/>
    <w:multiLevelType w:val="hybridMultilevel"/>
    <w:tmpl w:val="446EB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73621"/>
    <w:multiLevelType w:val="hybridMultilevel"/>
    <w:tmpl w:val="B858A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759C1"/>
    <w:multiLevelType w:val="hybridMultilevel"/>
    <w:tmpl w:val="F146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43CDC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9538C"/>
    <w:multiLevelType w:val="hybridMultilevel"/>
    <w:tmpl w:val="D8468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94BE5"/>
    <w:multiLevelType w:val="hybridMultilevel"/>
    <w:tmpl w:val="99583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7662D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C46FC"/>
    <w:multiLevelType w:val="hybridMultilevel"/>
    <w:tmpl w:val="0F1A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41EB1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D45AA"/>
    <w:multiLevelType w:val="hybridMultilevel"/>
    <w:tmpl w:val="A6B02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93540"/>
    <w:multiLevelType w:val="hybridMultilevel"/>
    <w:tmpl w:val="09DA6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E03F0"/>
    <w:multiLevelType w:val="hybridMultilevel"/>
    <w:tmpl w:val="6446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05F4"/>
    <w:multiLevelType w:val="hybridMultilevel"/>
    <w:tmpl w:val="34088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F2BF5"/>
    <w:multiLevelType w:val="hybridMultilevel"/>
    <w:tmpl w:val="01764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277F9"/>
    <w:multiLevelType w:val="hybridMultilevel"/>
    <w:tmpl w:val="5B6481E6"/>
    <w:lvl w:ilvl="0" w:tplc="2FBCCAF0">
      <w:start w:val="1"/>
      <w:numFmt w:val="decimal"/>
      <w:pStyle w:val="ListNumb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A154EF"/>
    <w:multiLevelType w:val="hybridMultilevel"/>
    <w:tmpl w:val="48848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6666A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BC66A9"/>
    <w:multiLevelType w:val="hybridMultilevel"/>
    <w:tmpl w:val="F1FA9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B2E3D"/>
    <w:multiLevelType w:val="hybridMultilevel"/>
    <w:tmpl w:val="45EE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985981"/>
    <w:multiLevelType w:val="hybridMultilevel"/>
    <w:tmpl w:val="7444A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23897"/>
    <w:multiLevelType w:val="hybridMultilevel"/>
    <w:tmpl w:val="5778F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8314F"/>
    <w:multiLevelType w:val="hybridMultilevel"/>
    <w:tmpl w:val="C31EF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24822"/>
    <w:multiLevelType w:val="hybridMultilevel"/>
    <w:tmpl w:val="096E12F6"/>
    <w:lvl w:ilvl="0" w:tplc="E5F8ED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65731BC"/>
    <w:multiLevelType w:val="hybridMultilevel"/>
    <w:tmpl w:val="A3C64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6F72"/>
    <w:multiLevelType w:val="hybridMultilevel"/>
    <w:tmpl w:val="831A1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F1493"/>
    <w:multiLevelType w:val="hybridMultilevel"/>
    <w:tmpl w:val="E8827D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13"/>
  </w:num>
  <w:num w:numId="4">
    <w:abstractNumId w:val="34"/>
  </w:num>
  <w:num w:numId="5">
    <w:abstractNumId w:val="24"/>
  </w:num>
  <w:num w:numId="6">
    <w:abstractNumId w:val="0"/>
  </w:num>
  <w:num w:numId="7">
    <w:abstractNumId w:val="12"/>
  </w:num>
  <w:num w:numId="8">
    <w:abstractNumId w:val="16"/>
  </w:num>
  <w:num w:numId="9">
    <w:abstractNumId w:val="38"/>
  </w:num>
  <w:num w:numId="10">
    <w:abstractNumId w:val="5"/>
  </w:num>
  <w:num w:numId="11">
    <w:abstractNumId w:val="37"/>
  </w:num>
  <w:num w:numId="12">
    <w:abstractNumId w:val="33"/>
  </w:num>
  <w:num w:numId="13">
    <w:abstractNumId w:val="22"/>
  </w:num>
  <w:num w:numId="14">
    <w:abstractNumId w:val="20"/>
  </w:num>
  <w:num w:numId="15">
    <w:abstractNumId w:val="29"/>
  </w:num>
  <w:num w:numId="16">
    <w:abstractNumId w:val="6"/>
  </w:num>
  <w:num w:numId="17">
    <w:abstractNumId w:val="18"/>
  </w:num>
  <w:num w:numId="18">
    <w:abstractNumId w:val="17"/>
  </w:num>
  <w:num w:numId="19">
    <w:abstractNumId w:val="30"/>
  </w:num>
  <w:num w:numId="20">
    <w:abstractNumId w:val="31"/>
  </w:num>
  <w:num w:numId="21">
    <w:abstractNumId w:val="7"/>
  </w:num>
  <w:num w:numId="22">
    <w:abstractNumId w:val="19"/>
  </w:num>
  <w:num w:numId="23">
    <w:abstractNumId w:val="21"/>
  </w:num>
  <w:num w:numId="24">
    <w:abstractNumId w:val="1"/>
  </w:num>
  <w:num w:numId="25">
    <w:abstractNumId w:val="10"/>
  </w:num>
  <w:num w:numId="26">
    <w:abstractNumId w:val="11"/>
  </w:num>
  <w:num w:numId="27">
    <w:abstractNumId w:val="27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3"/>
  </w:num>
  <w:num w:numId="33">
    <w:abstractNumId w:val="15"/>
  </w:num>
  <w:num w:numId="34">
    <w:abstractNumId w:val="36"/>
  </w:num>
  <w:num w:numId="35">
    <w:abstractNumId w:val="2"/>
  </w:num>
  <w:num w:numId="36">
    <w:abstractNumId w:val="8"/>
  </w:num>
  <w:num w:numId="37">
    <w:abstractNumId w:val="14"/>
  </w:num>
  <w:num w:numId="38">
    <w:abstractNumId w:val="3"/>
  </w:num>
  <w:num w:numId="39">
    <w:abstractNumId w:val="25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A0"/>
    <w:rsid w:val="0000253E"/>
    <w:rsid w:val="0001294B"/>
    <w:rsid w:val="00016C39"/>
    <w:rsid w:val="00017916"/>
    <w:rsid w:val="00021824"/>
    <w:rsid w:val="00032214"/>
    <w:rsid w:val="00032764"/>
    <w:rsid w:val="0006084D"/>
    <w:rsid w:val="00081879"/>
    <w:rsid w:val="00082158"/>
    <w:rsid w:val="000821FC"/>
    <w:rsid w:val="000A2582"/>
    <w:rsid w:val="000B0A38"/>
    <w:rsid w:val="000B6C5D"/>
    <w:rsid w:val="000D24B5"/>
    <w:rsid w:val="000D448B"/>
    <w:rsid w:val="000E0D46"/>
    <w:rsid w:val="00111991"/>
    <w:rsid w:val="00112B7F"/>
    <w:rsid w:val="00127679"/>
    <w:rsid w:val="00127B20"/>
    <w:rsid w:val="00135587"/>
    <w:rsid w:val="0014202A"/>
    <w:rsid w:val="00147D96"/>
    <w:rsid w:val="00193AE9"/>
    <w:rsid w:val="001A0F00"/>
    <w:rsid w:val="001A2432"/>
    <w:rsid w:val="001B77DD"/>
    <w:rsid w:val="001F73AD"/>
    <w:rsid w:val="00213149"/>
    <w:rsid w:val="00252B4E"/>
    <w:rsid w:val="002859A3"/>
    <w:rsid w:val="00287EF7"/>
    <w:rsid w:val="002A3AA6"/>
    <w:rsid w:val="002B1E99"/>
    <w:rsid w:val="002B5C30"/>
    <w:rsid w:val="002D3F18"/>
    <w:rsid w:val="002F67C4"/>
    <w:rsid w:val="00310A71"/>
    <w:rsid w:val="00313947"/>
    <w:rsid w:val="00322722"/>
    <w:rsid w:val="0032371C"/>
    <w:rsid w:val="00323B50"/>
    <w:rsid w:val="00336EF7"/>
    <w:rsid w:val="0036323F"/>
    <w:rsid w:val="00365AED"/>
    <w:rsid w:val="00381953"/>
    <w:rsid w:val="00391E6D"/>
    <w:rsid w:val="003C3E0E"/>
    <w:rsid w:val="003E452C"/>
    <w:rsid w:val="003F7AFD"/>
    <w:rsid w:val="00401119"/>
    <w:rsid w:val="004102B0"/>
    <w:rsid w:val="00437E0F"/>
    <w:rsid w:val="004412A9"/>
    <w:rsid w:val="00444D8D"/>
    <w:rsid w:val="00445A08"/>
    <w:rsid w:val="0045166D"/>
    <w:rsid w:val="00460005"/>
    <w:rsid w:val="00480835"/>
    <w:rsid w:val="00484415"/>
    <w:rsid w:val="004949EE"/>
    <w:rsid w:val="004A73D9"/>
    <w:rsid w:val="004C4606"/>
    <w:rsid w:val="004F1E01"/>
    <w:rsid w:val="004F72FF"/>
    <w:rsid w:val="0050074A"/>
    <w:rsid w:val="00526F9D"/>
    <w:rsid w:val="00532920"/>
    <w:rsid w:val="00557E38"/>
    <w:rsid w:val="00563A8B"/>
    <w:rsid w:val="00573E23"/>
    <w:rsid w:val="00576E8E"/>
    <w:rsid w:val="00576FA2"/>
    <w:rsid w:val="005B15C7"/>
    <w:rsid w:val="005C51EA"/>
    <w:rsid w:val="005D659A"/>
    <w:rsid w:val="005E6B27"/>
    <w:rsid w:val="005E7A10"/>
    <w:rsid w:val="005F1F2C"/>
    <w:rsid w:val="0061287F"/>
    <w:rsid w:val="00623E88"/>
    <w:rsid w:val="006268C5"/>
    <w:rsid w:val="0064558F"/>
    <w:rsid w:val="006673E1"/>
    <w:rsid w:val="006713BA"/>
    <w:rsid w:val="0068574C"/>
    <w:rsid w:val="006866AD"/>
    <w:rsid w:val="00687A64"/>
    <w:rsid w:val="00693A09"/>
    <w:rsid w:val="006A3390"/>
    <w:rsid w:val="006B49DD"/>
    <w:rsid w:val="006C47B2"/>
    <w:rsid w:val="006C7C1F"/>
    <w:rsid w:val="006D2848"/>
    <w:rsid w:val="006D6C64"/>
    <w:rsid w:val="006E1FC2"/>
    <w:rsid w:val="006F58D5"/>
    <w:rsid w:val="00704771"/>
    <w:rsid w:val="00744CB4"/>
    <w:rsid w:val="00744D70"/>
    <w:rsid w:val="0075669C"/>
    <w:rsid w:val="00757DE6"/>
    <w:rsid w:val="00765E42"/>
    <w:rsid w:val="00766DA6"/>
    <w:rsid w:val="00771A43"/>
    <w:rsid w:val="00773C3A"/>
    <w:rsid w:val="00776399"/>
    <w:rsid w:val="00787775"/>
    <w:rsid w:val="007A49C6"/>
    <w:rsid w:val="007B2E66"/>
    <w:rsid w:val="007C2021"/>
    <w:rsid w:val="007C42E7"/>
    <w:rsid w:val="007C5A16"/>
    <w:rsid w:val="007D7953"/>
    <w:rsid w:val="00803C2F"/>
    <w:rsid w:val="00812366"/>
    <w:rsid w:val="00823E1F"/>
    <w:rsid w:val="00840057"/>
    <w:rsid w:val="00841296"/>
    <w:rsid w:val="00851B86"/>
    <w:rsid w:val="008557E9"/>
    <w:rsid w:val="00857824"/>
    <w:rsid w:val="00857C54"/>
    <w:rsid w:val="0086741B"/>
    <w:rsid w:val="00886894"/>
    <w:rsid w:val="00891030"/>
    <w:rsid w:val="008B7CEA"/>
    <w:rsid w:val="008C3702"/>
    <w:rsid w:val="008C770A"/>
    <w:rsid w:val="008D39F9"/>
    <w:rsid w:val="008E41EE"/>
    <w:rsid w:val="00907050"/>
    <w:rsid w:val="00922E50"/>
    <w:rsid w:val="00933806"/>
    <w:rsid w:val="00963F73"/>
    <w:rsid w:val="00980BCC"/>
    <w:rsid w:val="00980D2D"/>
    <w:rsid w:val="00981FB6"/>
    <w:rsid w:val="00986B14"/>
    <w:rsid w:val="00986DB9"/>
    <w:rsid w:val="009B46BF"/>
    <w:rsid w:val="009B7CBB"/>
    <w:rsid w:val="009D2B54"/>
    <w:rsid w:val="009D4EAC"/>
    <w:rsid w:val="009E38D8"/>
    <w:rsid w:val="009E4662"/>
    <w:rsid w:val="009E6006"/>
    <w:rsid w:val="00A017EA"/>
    <w:rsid w:val="00A16E31"/>
    <w:rsid w:val="00A32020"/>
    <w:rsid w:val="00A43587"/>
    <w:rsid w:val="00A83146"/>
    <w:rsid w:val="00A9235B"/>
    <w:rsid w:val="00A9294A"/>
    <w:rsid w:val="00A9342A"/>
    <w:rsid w:val="00AA117F"/>
    <w:rsid w:val="00AC0B01"/>
    <w:rsid w:val="00AC3E30"/>
    <w:rsid w:val="00AD48A2"/>
    <w:rsid w:val="00AF2747"/>
    <w:rsid w:val="00B05A16"/>
    <w:rsid w:val="00B07030"/>
    <w:rsid w:val="00B15CD4"/>
    <w:rsid w:val="00B35AB3"/>
    <w:rsid w:val="00B40BF2"/>
    <w:rsid w:val="00B45DC2"/>
    <w:rsid w:val="00B47F58"/>
    <w:rsid w:val="00B5095B"/>
    <w:rsid w:val="00B575B7"/>
    <w:rsid w:val="00B77BD5"/>
    <w:rsid w:val="00B814CE"/>
    <w:rsid w:val="00BB3853"/>
    <w:rsid w:val="00BD0D8D"/>
    <w:rsid w:val="00BD4C31"/>
    <w:rsid w:val="00BE0EC6"/>
    <w:rsid w:val="00BE49AD"/>
    <w:rsid w:val="00BF75EF"/>
    <w:rsid w:val="00C01D4C"/>
    <w:rsid w:val="00C023FB"/>
    <w:rsid w:val="00C5068E"/>
    <w:rsid w:val="00C65843"/>
    <w:rsid w:val="00C96725"/>
    <w:rsid w:val="00CA3D13"/>
    <w:rsid w:val="00CB741B"/>
    <w:rsid w:val="00D04113"/>
    <w:rsid w:val="00D202D0"/>
    <w:rsid w:val="00D34AF6"/>
    <w:rsid w:val="00D35079"/>
    <w:rsid w:val="00D378DF"/>
    <w:rsid w:val="00D410A5"/>
    <w:rsid w:val="00D443AE"/>
    <w:rsid w:val="00D45247"/>
    <w:rsid w:val="00D4653D"/>
    <w:rsid w:val="00D54A4D"/>
    <w:rsid w:val="00D74DDB"/>
    <w:rsid w:val="00D77242"/>
    <w:rsid w:val="00D97878"/>
    <w:rsid w:val="00DB602D"/>
    <w:rsid w:val="00DC1866"/>
    <w:rsid w:val="00DC2C64"/>
    <w:rsid w:val="00DE60D4"/>
    <w:rsid w:val="00DF3224"/>
    <w:rsid w:val="00E30A92"/>
    <w:rsid w:val="00E44E83"/>
    <w:rsid w:val="00E54A89"/>
    <w:rsid w:val="00E5620B"/>
    <w:rsid w:val="00E62925"/>
    <w:rsid w:val="00E62D41"/>
    <w:rsid w:val="00E717A0"/>
    <w:rsid w:val="00E7228E"/>
    <w:rsid w:val="00E863A5"/>
    <w:rsid w:val="00EB62DA"/>
    <w:rsid w:val="00EB7C04"/>
    <w:rsid w:val="00ED7040"/>
    <w:rsid w:val="00ED7545"/>
    <w:rsid w:val="00EE17E7"/>
    <w:rsid w:val="00F03799"/>
    <w:rsid w:val="00F1598E"/>
    <w:rsid w:val="00F20453"/>
    <w:rsid w:val="00F41967"/>
    <w:rsid w:val="00F56EF7"/>
    <w:rsid w:val="00F716EB"/>
    <w:rsid w:val="00F71A6B"/>
    <w:rsid w:val="00F8509E"/>
    <w:rsid w:val="00F944E9"/>
    <w:rsid w:val="00F9591E"/>
    <w:rsid w:val="00FD5F73"/>
    <w:rsid w:val="00FE2183"/>
    <w:rsid w:val="00F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A41321"/>
  <w15:docId w15:val="{1591F34A-2E5D-418F-B9BC-3956E947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2E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032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7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10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3E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5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322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22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B0A38"/>
    <w:pPr>
      <w:ind w:left="720"/>
      <w:contextualSpacing/>
    </w:pPr>
  </w:style>
  <w:style w:type="paragraph" w:customStyle="1" w:styleId="Default">
    <w:name w:val="Default"/>
    <w:rsid w:val="009B7CB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32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32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032764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3276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3276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327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76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93A0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93A09"/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DB6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02D"/>
  </w:style>
  <w:style w:type="paragraph" w:styleId="Footer">
    <w:name w:val="footer"/>
    <w:basedOn w:val="Normal"/>
    <w:link w:val="FooterChar"/>
    <w:uiPriority w:val="99"/>
    <w:unhideWhenUsed/>
    <w:rsid w:val="00DB60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02D"/>
  </w:style>
  <w:style w:type="table" w:styleId="TableGrid">
    <w:name w:val="Table Grid"/>
    <w:basedOn w:val="TableNormal"/>
    <w:uiPriority w:val="59"/>
    <w:rsid w:val="00127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3C3E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Number">
    <w:name w:val="List Number"/>
    <w:semiHidden/>
    <w:unhideWhenUsed/>
    <w:rsid w:val="003C3E0E"/>
    <w:pPr>
      <w:numPr>
        <w:numId w:val="28"/>
      </w:numPr>
      <w:spacing w:line="240" w:lineRule="exact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BlockQuotationChar">
    <w:name w:val="Block Quotation Char"/>
    <w:basedOn w:val="DefaultParagraphFont"/>
    <w:link w:val="BlockQuotation"/>
    <w:locked/>
    <w:rsid w:val="003C3E0E"/>
    <w:rPr>
      <w:rFonts w:ascii="Trebuchet MS" w:hAnsi="Trebuchet MS"/>
      <w:i/>
      <w:spacing w:val="10"/>
    </w:rPr>
  </w:style>
  <w:style w:type="paragraph" w:customStyle="1" w:styleId="BlockQuotation">
    <w:name w:val="Block Quotation"/>
    <w:basedOn w:val="BodyText"/>
    <w:link w:val="BlockQuotationChar"/>
    <w:rsid w:val="003C3E0E"/>
    <w:pPr>
      <w:keepLines/>
      <w:spacing w:before="120" w:line="240" w:lineRule="exact"/>
      <w:ind w:left="360"/>
    </w:pPr>
    <w:rPr>
      <w:rFonts w:ascii="Trebuchet MS" w:hAnsi="Trebuchet MS"/>
      <w:i/>
      <w:spacing w:val="10"/>
    </w:rPr>
  </w:style>
  <w:style w:type="paragraph" w:customStyle="1" w:styleId="TableText">
    <w:name w:val="Table Text"/>
    <w:basedOn w:val="Normal"/>
    <w:uiPriority w:val="99"/>
    <w:rsid w:val="003C3E0E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3C3E0E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3C3E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3E0E"/>
  </w:style>
  <w:style w:type="character" w:customStyle="1" w:styleId="Heading3Char">
    <w:name w:val="Heading 3 Char"/>
    <w:basedOn w:val="DefaultParagraphFont"/>
    <w:link w:val="Heading3"/>
    <w:uiPriority w:val="9"/>
    <w:rsid w:val="008910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1A0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0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F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B05601-68C7-4FD1-BAD6-171232CB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Champion Pharmaceuticals, Inc.</vt:lpstr>
    </vt:vector>
  </TitlesOfParts>
  <Company>WoltersKluwer</Company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Champion Pharmaceuticals, Inc.</dc:title>
  <dc:creator>Patrick Rodriguez</dc:creator>
  <cp:lastModifiedBy>Chris Ryley</cp:lastModifiedBy>
  <cp:revision>6</cp:revision>
  <cp:lastPrinted>2012-09-07T22:59:00Z</cp:lastPrinted>
  <dcterms:created xsi:type="dcterms:W3CDTF">2016-07-15T15:04:00Z</dcterms:created>
  <dcterms:modified xsi:type="dcterms:W3CDTF">2017-06-06T16:06:00Z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-255517351</vt:i4>
  </property>
  <property fmtid="{D5CDD505-2E9C-101B-9397-08002B2CF9AE}" pid="3" name="_NewReviewCycle">
    <vt:lpwstr/>
  </property>
  <property fmtid="{D5CDD505-2E9C-101B-9397-08002B2CF9AE}" pid="4" name="_EmailSubject">
    <vt:lpwstr>3rd edition TeamMate Files - student version materials</vt:lpwstr>
  </property>
  <property fmtid="{D5CDD505-2E9C-101B-9397-08002B2CF9AE}" pid="5" name="_AuthorEmail">
    <vt:lpwstr>Cris.Shreve@tdameritrade.com</vt:lpwstr>
  </property>
  <property fmtid="{D5CDD505-2E9C-101B-9397-08002B2CF9AE}" pid="6" name="_AuthorEmailDisplayName">
    <vt:lpwstr>Shreve, Cris R.</vt:lpwstr>
  </property>
  <property fmtid="{D5CDD505-2E9C-101B-9397-08002B2CF9AE}" pid="7" name="_PreviousAdHocReviewCycleID">
    <vt:i4>-862098635</vt:i4>
  </property>
  <property fmtid="{D5CDD505-2E9C-101B-9397-08002B2CF9AE}" pid="8" name="_ReviewingToolsShownOnce">
    <vt:lpwstr/>
  </property>
</Properties>
</file>