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C9CF" w14:textId="77777777" w:rsidR="005F36D3" w:rsidRDefault="005F36D3" w:rsidP="005F36D3">
      <w:pPr>
        <w:rPr>
          <w:rFonts w:asciiTheme="minorHAnsi" w:hAnsiTheme="minorHAnsi"/>
          <w:b/>
          <w:bCs/>
          <w:sz w:val="32"/>
          <w:szCs w:val="32"/>
        </w:rPr>
      </w:pPr>
    </w:p>
    <w:p w14:paraId="3D00DD4C" w14:textId="77777777" w:rsidR="00C311B3" w:rsidRDefault="00C311B3" w:rsidP="00C311B3">
      <w:pPr>
        <w:rPr>
          <w:rFonts w:asciiTheme="minorHAnsi" w:hAnsiTheme="minorHAnsi"/>
          <w:b/>
          <w:bCs/>
          <w:sz w:val="32"/>
          <w:szCs w:val="32"/>
        </w:rPr>
      </w:pPr>
      <w:r w:rsidRPr="00943EDE">
        <w:rPr>
          <w:rFonts w:asciiTheme="minorHAnsi" w:hAnsiTheme="minorHAnsi"/>
          <w:b/>
          <w:bCs/>
          <w:sz w:val="32"/>
          <w:szCs w:val="32"/>
        </w:rPr>
        <w:t>EC Tax Review</w:t>
      </w:r>
    </w:p>
    <w:p w14:paraId="653670F1" w14:textId="77777777" w:rsidR="00C311B3" w:rsidRDefault="00C311B3" w:rsidP="00C311B3">
      <w:pPr>
        <w:rPr>
          <w:rFonts w:asciiTheme="minorHAnsi" w:hAnsiTheme="minorHAnsi"/>
          <w:b/>
          <w:bCs/>
          <w:sz w:val="22"/>
          <w:szCs w:val="32"/>
        </w:rPr>
      </w:pPr>
    </w:p>
    <w:p w14:paraId="7497C090" w14:textId="2AC18776" w:rsidR="00C311B3" w:rsidRPr="00614DF9" w:rsidRDefault="00C311B3" w:rsidP="00C311B3">
      <w:pPr>
        <w:rPr>
          <w:rFonts w:asciiTheme="minorHAnsi" w:hAnsiTheme="minorHAnsi"/>
          <w:bCs/>
          <w:sz w:val="28"/>
          <w:szCs w:val="28"/>
        </w:rPr>
      </w:pPr>
      <w:r w:rsidRPr="00614DF9">
        <w:rPr>
          <w:rFonts w:asciiTheme="minorHAnsi" w:hAnsiTheme="minorHAnsi"/>
          <w:bCs/>
          <w:sz w:val="28"/>
          <w:szCs w:val="28"/>
        </w:rPr>
        <w:t>Author Guide</w:t>
      </w:r>
    </w:p>
    <w:p w14:paraId="7CC34D8B" w14:textId="77777777" w:rsidR="00C311B3" w:rsidRDefault="00C311B3" w:rsidP="00C311B3">
      <w:pPr>
        <w:rPr>
          <w:rFonts w:asciiTheme="minorHAnsi" w:hAnsiTheme="minorHAnsi"/>
          <w:sz w:val="20"/>
        </w:rPr>
      </w:pPr>
    </w:p>
    <w:p w14:paraId="6B82C9CD" w14:textId="77777777" w:rsidR="00C311B3" w:rsidRDefault="00C311B3" w:rsidP="00C311B3">
      <w:pPr>
        <w:rPr>
          <w:rFonts w:asciiTheme="minorHAnsi" w:hAnsiTheme="minorHAnsi"/>
          <w:sz w:val="20"/>
        </w:rPr>
      </w:pPr>
    </w:p>
    <w:p w14:paraId="3FFD9FA6" w14:textId="77777777" w:rsidR="00F9168C" w:rsidRDefault="00C311B3" w:rsidP="00F9168C">
      <w:pPr>
        <w:rPr>
          <w:rFonts w:ascii="Calibri" w:eastAsia="Calibri" w:hAnsi="Calibri"/>
          <w:b/>
          <w:sz w:val="22"/>
          <w:szCs w:val="22"/>
        </w:rPr>
      </w:pPr>
      <w:r w:rsidRPr="00184213">
        <w:rPr>
          <w:rFonts w:ascii="Calibri" w:eastAsia="Calibri" w:hAnsi="Calibri"/>
          <w:b/>
          <w:sz w:val="22"/>
          <w:szCs w:val="22"/>
        </w:rPr>
        <w:t>[A] Aim of the Journal</w:t>
      </w:r>
      <w:r w:rsidRPr="00184213">
        <w:rPr>
          <w:rFonts w:ascii="Calibri" w:eastAsia="Calibri" w:hAnsi="Calibri"/>
          <w:b/>
          <w:sz w:val="22"/>
          <w:szCs w:val="22"/>
        </w:rPr>
        <w:cr/>
      </w:r>
      <w:bookmarkStart w:id="0" w:name="_Hlk162709906"/>
    </w:p>
    <w:p w14:paraId="4655EE39" w14:textId="5A53129B" w:rsidR="00A275BB" w:rsidRPr="00F9168C" w:rsidRDefault="00A275BB" w:rsidP="00F9168C">
      <w:pPr>
        <w:rPr>
          <w:rFonts w:ascii="Calibri" w:eastAsia="Calibri" w:hAnsi="Calibri"/>
          <w:sz w:val="22"/>
          <w:szCs w:val="22"/>
        </w:rPr>
      </w:pPr>
      <w:r w:rsidRPr="00F9168C">
        <w:rPr>
          <w:rFonts w:ascii="Calibri" w:eastAsia="Calibri" w:hAnsi="Calibri"/>
          <w:sz w:val="22"/>
          <w:szCs w:val="22"/>
        </w:rPr>
        <w:t xml:space="preserve">The focus of </w:t>
      </w:r>
      <w:r w:rsidRPr="00F9168C">
        <w:rPr>
          <w:rFonts w:ascii="Calibri" w:eastAsia="Calibri" w:hAnsi="Calibri"/>
          <w:i/>
          <w:iCs/>
          <w:sz w:val="22"/>
          <w:szCs w:val="22"/>
        </w:rPr>
        <w:t>EC Tax Review</w:t>
      </w:r>
      <w:r w:rsidRPr="00F9168C">
        <w:rPr>
          <w:rFonts w:ascii="Calibri" w:eastAsia="Calibri" w:hAnsi="Calibri"/>
          <w:sz w:val="22"/>
          <w:szCs w:val="22"/>
        </w:rPr>
        <w:t xml:space="preserve"> is on EU tax law. </w:t>
      </w:r>
      <w:bookmarkEnd w:id="0"/>
      <w:r w:rsidRPr="00F9168C">
        <w:rPr>
          <w:rFonts w:ascii="Calibri" w:eastAsia="Calibri" w:hAnsi="Calibri"/>
          <w:sz w:val="22"/>
          <w:szCs w:val="22"/>
        </w:rPr>
        <w:t xml:space="preserve">The aim of the journal is to provide up-to-date coverage of developments in EU tax law as it affects the Member States. In providing comprehensive and timely analysis, a contribution enables readers to anticipate the effect of EU tax law on the regimes in the different countries. This concerns both direct and indirect taxation. This also implies that mere legal comparisons of tax systems of Member States are not in scope, because they lack an EU tax law component. However, a legal comparison or national tax law can be a qualifying research subject if the (potential) EU tax law impact is substantial enough, i.e., if national tax law could (potentially) have an impact in other EU Member States from an EU tax law perspective. For example, a national court decision on the interpretation or application of EU tax law may (potentially) also be relevant for the interpretation or application of EU tax law in other Member States. </w:t>
      </w:r>
    </w:p>
    <w:p w14:paraId="51C11750" w14:textId="77777777" w:rsidR="00C311B3" w:rsidRDefault="00C311B3" w:rsidP="00C311B3">
      <w:pPr>
        <w:pStyle w:val="NoSpacing"/>
        <w:jc w:val="both"/>
        <w:rPr>
          <w:noProof/>
          <w:lang w:val="en-US" w:eastAsia="nl-NL"/>
        </w:rPr>
      </w:pPr>
    </w:p>
    <w:p w14:paraId="39D72BEB" w14:textId="77777777" w:rsidR="005012E2" w:rsidRDefault="005012E2" w:rsidP="00C311B3">
      <w:pPr>
        <w:pStyle w:val="NoSpacing"/>
        <w:jc w:val="both"/>
        <w:rPr>
          <w:b/>
          <w:lang w:val="en-US"/>
        </w:rPr>
      </w:pPr>
    </w:p>
    <w:p w14:paraId="0C556829" w14:textId="12F41BB2" w:rsidR="00C311B3" w:rsidRDefault="00C311B3" w:rsidP="00C311B3">
      <w:pPr>
        <w:pStyle w:val="NoSpacing"/>
        <w:jc w:val="both"/>
        <w:rPr>
          <w:b/>
          <w:lang w:val="en-US"/>
        </w:rPr>
      </w:pPr>
      <w:r w:rsidRPr="001A3B7A">
        <w:rPr>
          <w:b/>
          <w:lang w:val="en-US"/>
        </w:rPr>
        <w:t>[B] Contact Details</w:t>
      </w:r>
    </w:p>
    <w:p w14:paraId="2B920C86" w14:textId="77777777" w:rsidR="00F9168C" w:rsidRPr="001A3B7A" w:rsidRDefault="00F9168C" w:rsidP="00C311B3">
      <w:pPr>
        <w:pStyle w:val="NoSpacing"/>
        <w:jc w:val="both"/>
        <w:rPr>
          <w:b/>
          <w:lang w:val="en-US"/>
        </w:rPr>
      </w:pPr>
    </w:p>
    <w:p w14:paraId="11F12D27" w14:textId="77777777" w:rsidR="00C311B3" w:rsidRDefault="00C311B3" w:rsidP="00C311B3">
      <w:pPr>
        <w:pStyle w:val="NoSpacing"/>
        <w:jc w:val="both"/>
        <w:rPr>
          <w:lang w:val="en-US"/>
        </w:rPr>
      </w:pPr>
      <w:r>
        <w:rPr>
          <w:lang w:val="en-US"/>
        </w:rPr>
        <w:t xml:space="preserve">Manuscripts </w:t>
      </w:r>
      <w:r w:rsidRPr="001A3B7A">
        <w:rPr>
          <w:lang w:val="en-US"/>
        </w:rPr>
        <w:t xml:space="preserve">should be submitted </w:t>
      </w:r>
      <w:r>
        <w:rPr>
          <w:lang w:val="en-US"/>
        </w:rPr>
        <w:t>to the editor, Ben Kiekebeld.</w:t>
      </w:r>
    </w:p>
    <w:p w14:paraId="6C5DE996" w14:textId="77777777" w:rsidR="00C311B3" w:rsidRDefault="00C311B3" w:rsidP="00C311B3">
      <w:pPr>
        <w:pStyle w:val="NoSpacing"/>
        <w:jc w:val="both"/>
        <w:rPr>
          <w:lang w:val="en-US"/>
        </w:rPr>
      </w:pPr>
      <w:r w:rsidRPr="00943EDE">
        <w:rPr>
          <w:lang w:val="en-US"/>
        </w:rPr>
        <w:t xml:space="preserve">E-mail address: </w:t>
      </w:r>
      <w:hyperlink r:id="rId8" w:history="1">
        <w:r w:rsidRPr="00F46C78">
          <w:rPr>
            <w:rStyle w:val="Hyperlink"/>
            <w:lang w:val="en-US"/>
          </w:rPr>
          <w:t>ben.kiekebeld@nl.ey.com</w:t>
        </w:r>
      </w:hyperlink>
    </w:p>
    <w:p w14:paraId="69D71713" w14:textId="77777777" w:rsidR="00C311B3" w:rsidRDefault="00C311B3" w:rsidP="00C311B3">
      <w:pPr>
        <w:pStyle w:val="NoSpacing"/>
        <w:jc w:val="both"/>
        <w:rPr>
          <w:rFonts w:asciiTheme="minorHAnsi" w:hAnsiTheme="minorHAnsi"/>
          <w:sz w:val="20"/>
          <w:lang w:val="en-US"/>
        </w:rPr>
      </w:pPr>
    </w:p>
    <w:p w14:paraId="7B9D3034" w14:textId="77777777" w:rsidR="00C311B3" w:rsidRPr="00943EDE" w:rsidRDefault="00C311B3" w:rsidP="00C311B3">
      <w:pPr>
        <w:pStyle w:val="NoSpacing"/>
        <w:jc w:val="both"/>
        <w:rPr>
          <w:rFonts w:asciiTheme="minorHAnsi" w:hAnsiTheme="minorHAnsi"/>
          <w:sz w:val="20"/>
          <w:lang w:val="en-US"/>
        </w:rPr>
      </w:pPr>
    </w:p>
    <w:p w14:paraId="584F4834" w14:textId="52F92D64" w:rsidR="00C311B3" w:rsidRDefault="00C311B3" w:rsidP="00C311B3">
      <w:pPr>
        <w:pStyle w:val="NoSpacing"/>
        <w:jc w:val="both"/>
        <w:rPr>
          <w:b/>
          <w:lang w:val="en-US"/>
        </w:rPr>
      </w:pPr>
      <w:r w:rsidRPr="001A3B7A">
        <w:rPr>
          <w:b/>
          <w:lang w:val="en-US"/>
        </w:rPr>
        <w:t>[C] Submission Guidelines</w:t>
      </w:r>
      <w:r w:rsidR="00A275BB">
        <w:rPr>
          <w:b/>
          <w:lang w:val="en-US"/>
        </w:rPr>
        <w:t xml:space="preserve"> general</w:t>
      </w:r>
    </w:p>
    <w:p w14:paraId="555768F9" w14:textId="77777777" w:rsidR="00F9168C" w:rsidRDefault="00F9168C" w:rsidP="00C311B3">
      <w:pPr>
        <w:pStyle w:val="NoSpacing"/>
        <w:jc w:val="both"/>
        <w:rPr>
          <w:b/>
          <w:lang w:val="en-US"/>
        </w:rPr>
      </w:pPr>
    </w:p>
    <w:p w14:paraId="1BBACD54" w14:textId="77777777" w:rsidR="001E6B7C" w:rsidRPr="001E6B7C" w:rsidRDefault="001E6B7C" w:rsidP="001E6B7C">
      <w:pPr>
        <w:pStyle w:val="NoSpacing"/>
        <w:numPr>
          <w:ilvl w:val="0"/>
          <w:numId w:val="14"/>
        </w:numPr>
        <w:jc w:val="both"/>
        <w:rPr>
          <w:bCs/>
          <w:lang w:val="en-GB" w:eastAsia="nl-NL"/>
        </w:rPr>
      </w:pPr>
      <w:r w:rsidRPr="001E6B7C">
        <w:rPr>
          <w:bCs/>
          <w:lang w:val="en-GB" w:eastAsia="nl-NL"/>
        </w:rPr>
        <w:t>An article title should be concise, with a maximum of 70 characters.</w:t>
      </w:r>
    </w:p>
    <w:p w14:paraId="6863CA7B" w14:textId="77777777" w:rsidR="001E6B7C" w:rsidRPr="001E6B7C" w:rsidRDefault="001E6B7C" w:rsidP="001E6B7C">
      <w:pPr>
        <w:pStyle w:val="NoSpacing"/>
        <w:numPr>
          <w:ilvl w:val="0"/>
          <w:numId w:val="14"/>
        </w:numPr>
        <w:jc w:val="both"/>
        <w:rPr>
          <w:bCs/>
          <w:lang w:val="en-GB" w:eastAsia="nl-NL"/>
        </w:rPr>
      </w:pPr>
      <w:r w:rsidRPr="001E6B7C">
        <w:rPr>
          <w:bCs/>
          <w:lang w:val="en-GB" w:eastAsia="nl-NL"/>
        </w:rPr>
        <w:t>The article should contain an abstract, a short summary of about 200 words. This abstract will also be added to the free search zone of the Kluwer Online database.</w:t>
      </w:r>
    </w:p>
    <w:p w14:paraId="575BCF03" w14:textId="77777777" w:rsidR="001E6B7C" w:rsidRPr="001E6B7C" w:rsidRDefault="001E6B7C" w:rsidP="001E6B7C">
      <w:pPr>
        <w:pStyle w:val="NoSpacing"/>
        <w:numPr>
          <w:ilvl w:val="0"/>
          <w:numId w:val="14"/>
        </w:numPr>
        <w:jc w:val="both"/>
        <w:rPr>
          <w:bCs/>
          <w:lang w:val="en-GB" w:eastAsia="nl-NL"/>
        </w:rPr>
      </w:pPr>
      <w:r w:rsidRPr="001E6B7C">
        <w:rPr>
          <w:bCs/>
          <w:lang w:val="en-GB" w:eastAsia="nl-NL"/>
        </w:rPr>
        <w:t>To further boost the search engine optimization (SEO) of your article, please provide approximately ten keywords that describe the content of your contribution.</w:t>
      </w:r>
    </w:p>
    <w:p w14:paraId="399FCED7" w14:textId="5E599FC8" w:rsidR="001E6B7C" w:rsidRPr="00A275BB" w:rsidRDefault="001E6B7C" w:rsidP="00A275BB">
      <w:pPr>
        <w:pStyle w:val="NoSpacing"/>
        <w:numPr>
          <w:ilvl w:val="0"/>
          <w:numId w:val="14"/>
        </w:numPr>
        <w:jc w:val="both"/>
        <w:rPr>
          <w:bCs/>
          <w:lang w:val="en-GB" w:eastAsia="nl-NL"/>
        </w:rPr>
      </w:pPr>
      <w:r w:rsidRPr="001E6B7C">
        <w:rPr>
          <w:bCs/>
          <w:lang w:val="en-GB" w:eastAsia="nl-NL"/>
        </w:rPr>
        <w:t>A brief biographical note, including both the current affiliation as well as the e-mail address of the author(s), should be provided in the first footnote of the manuscript.</w:t>
      </w:r>
    </w:p>
    <w:p w14:paraId="42CED2F7" w14:textId="77777777" w:rsidR="001E6B7C" w:rsidRPr="001E6B7C" w:rsidRDefault="001E6B7C" w:rsidP="001E6B7C">
      <w:pPr>
        <w:pStyle w:val="NoSpacing"/>
        <w:numPr>
          <w:ilvl w:val="0"/>
          <w:numId w:val="14"/>
        </w:numPr>
        <w:jc w:val="both"/>
        <w:rPr>
          <w:bCs/>
          <w:lang w:val="en-GB" w:eastAsia="nl-NL"/>
        </w:rPr>
      </w:pPr>
      <w:r w:rsidRPr="001E6B7C">
        <w:rPr>
          <w:bCs/>
          <w:lang w:val="en-GB" w:eastAsia="nl-NL"/>
        </w:rPr>
        <w:t>Only articles in English will be considered for publication. Manuscripts should be written in standard English, while using ‘</w:t>
      </w:r>
      <w:proofErr w:type="spellStart"/>
      <w:r w:rsidRPr="001E6B7C">
        <w:rPr>
          <w:bCs/>
          <w:lang w:val="en-GB" w:eastAsia="nl-NL"/>
        </w:rPr>
        <w:t>ize</w:t>
      </w:r>
      <w:proofErr w:type="spellEnd"/>
      <w:r w:rsidRPr="001E6B7C">
        <w:rPr>
          <w:bCs/>
          <w:lang w:val="en-GB" w:eastAsia="nl-NL"/>
        </w:rPr>
        <w:t>’ and ‘</w:t>
      </w:r>
      <w:proofErr w:type="spellStart"/>
      <w:r w:rsidRPr="001E6B7C">
        <w:rPr>
          <w:bCs/>
          <w:lang w:val="en-GB" w:eastAsia="nl-NL"/>
        </w:rPr>
        <w:t>ization</w:t>
      </w:r>
      <w:proofErr w:type="spellEnd"/>
      <w:r w:rsidRPr="001E6B7C">
        <w:rPr>
          <w:bCs/>
          <w:lang w:val="en-GB" w:eastAsia="nl-NL"/>
        </w:rPr>
        <w:t>’ instead of ‘</w:t>
      </w:r>
      <w:proofErr w:type="spellStart"/>
      <w:r w:rsidRPr="001E6B7C">
        <w:rPr>
          <w:bCs/>
          <w:lang w:val="en-GB" w:eastAsia="nl-NL"/>
        </w:rPr>
        <w:t>ise</w:t>
      </w:r>
      <w:proofErr w:type="spellEnd"/>
      <w:r w:rsidRPr="001E6B7C">
        <w:rPr>
          <w:bCs/>
          <w:lang w:val="en-GB" w:eastAsia="nl-NL"/>
        </w:rPr>
        <w:t>’ and ‘</w:t>
      </w:r>
      <w:proofErr w:type="spellStart"/>
      <w:r w:rsidRPr="001E6B7C">
        <w:rPr>
          <w:bCs/>
          <w:lang w:val="en-GB" w:eastAsia="nl-NL"/>
        </w:rPr>
        <w:t>isation</w:t>
      </w:r>
      <w:proofErr w:type="spellEnd"/>
      <w:r w:rsidRPr="001E6B7C">
        <w:rPr>
          <w:bCs/>
          <w:lang w:val="en-GB" w:eastAsia="nl-NL"/>
        </w:rPr>
        <w:t>’. Preferred reference source is the Oxford English Dictionary. However, in case of quotations the original spelling should be maintained. In case the complete article is written by an American author, US spelling may also be used.</w:t>
      </w:r>
    </w:p>
    <w:p w14:paraId="138024CD" w14:textId="77777777" w:rsidR="001E6B7C" w:rsidRPr="001E6B7C" w:rsidRDefault="001E6B7C" w:rsidP="001E6B7C">
      <w:pPr>
        <w:pStyle w:val="NoSpacing"/>
        <w:numPr>
          <w:ilvl w:val="0"/>
          <w:numId w:val="14"/>
        </w:numPr>
        <w:jc w:val="both"/>
        <w:rPr>
          <w:bCs/>
          <w:lang w:val="en-GB" w:eastAsia="nl-NL"/>
        </w:rPr>
      </w:pPr>
      <w:r w:rsidRPr="001E6B7C">
        <w:rPr>
          <w:bCs/>
          <w:lang w:val="en-GB" w:eastAsia="nl-NL"/>
        </w:rPr>
        <w:t>Manuscripts will be returned to the author if the English is below standard. In case of doubt about the correct use of the English language, authors are advised to have their text checked by a native speaker before submitting it.</w:t>
      </w:r>
    </w:p>
    <w:p w14:paraId="3610827F" w14:textId="77777777" w:rsidR="001E6B7C" w:rsidRPr="001E6B7C" w:rsidRDefault="001E6B7C" w:rsidP="001E6B7C">
      <w:pPr>
        <w:pStyle w:val="NoSpacing"/>
        <w:numPr>
          <w:ilvl w:val="0"/>
          <w:numId w:val="14"/>
        </w:numPr>
        <w:jc w:val="both"/>
        <w:rPr>
          <w:bCs/>
          <w:lang w:val="en-GB" w:eastAsia="nl-NL"/>
        </w:rPr>
      </w:pPr>
      <w:r w:rsidRPr="001E6B7C">
        <w:rPr>
          <w:bCs/>
          <w:lang w:val="en-GB" w:eastAsia="nl-NL"/>
        </w:rPr>
        <w:t>Heading levels should be clearly indicated.</w:t>
      </w:r>
    </w:p>
    <w:p w14:paraId="326B1A8E" w14:textId="77777777" w:rsidR="001E6B7C" w:rsidRPr="001E6B7C" w:rsidRDefault="001E6B7C" w:rsidP="001E6B7C">
      <w:pPr>
        <w:pStyle w:val="NoSpacing"/>
        <w:numPr>
          <w:ilvl w:val="0"/>
          <w:numId w:val="14"/>
        </w:numPr>
        <w:jc w:val="both"/>
        <w:rPr>
          <w:bCs/>
          <w:lang w:val="en-GB" w:eastAsia="nl-NL"/>
        </w:rPr>
      </w:pPr>
      <w:r w:rsidRPr="001E6B7C">
        <w:rPr>
          <w:bCs/>
          <w:lang w:val="en-GB" w:eastAsia="nl-NL"/>
        </w:rPr>
        <w:t xml:space="preserve">Special attention should be paid to quotations, footnotes, and references. All citations and quotations must be verified before submission of the manuscript. The accuracy of the contribution is the responsibility of the author. The journal has adopted the Association of Legal Writing Directors (ALWD) legal citation style to ensure uniformity. Citations should not appear in the text but in the footnotes. Footnotes should be numbered consecutively, using the footnote </w:t>
      </w:r>
      <w:r w:rsidRPr="001E6B7C">
        <w:rPr>
          <w:bCs/>
          <w:lang w:val="en-GB" w:eastAsia="nl-NL"/>
        </w:rPr>
        <w:lastRenderedPageBreak/>
        <w:t>function in Word so that if any footnotes are added or deleted the others are automatically renumbered.</w:t>
      </w:r>
    </w:p>
    <w:p w14:paraId="51E679F3" w14:textId="77777777" w:rsidR="001E6B7C" w:rsidRPr="001E6B7C" w:rsidRDefault="001E6B7C" w:rsidP="001E6B7C">
      <w:pPr>
        <w:pStyle w:val="NoSpacing"/>
        <w:numPr>
          <w:ilvl w:val="0"/>
          <w:numId w:val="14"/>
        </w:numPr>
        <w:jc w:val="both"/>
        <w:rPr>
          <w:bCs/>
          <w:lang w:val="en-GB" w:eastAsia="nl-NL"/>
        </w:rPr>
      </w:pPr>
      <w:r w:rsidRPr="001E6B7C">
        <w:rPr>
          <w:bCs/>
          <w:lang w:val="en-GB" w:eastAsia="nl-NL"/>
        </w:rPr>
        <w:t>Tables should be self-explanatory and their content should not be repeated in the text. Do not tabulate unnecessarily. Tables should be numbered and should include concise titles.</w:t>
      </w:r>
    </w:p>
    <w:p w14:paraId="11E13A3E" w14:textId="77777777" w:rsidR="001E6B7C" w:rsidRPr="001E6B7C" w:rsidRDefault="001E6B7C" w:rsidP="001E6B7C">
      <w:pPr>
        <w:pStyle w:val="NoSpacing"/>
        <w:numPr>
          <w:ilvl w:val="0"/>
          <w:numId w:val="14"/>
        </w:numPr>
        <w:jc w:val="both"/>
        <w:rPr>
          <w:bCs/>
          <w:lang w:val="en-GB" w:eastAsia="nl-NL"/>
        </w:rPr>
      </w:pPr>
      <w:r w:rsidRPr="001E6B7C">
        <w:rPr>
          <w:bCs/>
          <w:lang w:val="en-GB" w:eastAsia="nl-NL"/>
        </w:rPr>
        <w:t>Figures should be submitted as separate files along with the manuscript, and it is very important that they are high quality: .</w:t>
      </w:r>
      <w:proofErr w:type="spellStart"/>
      <w:r w:rsidRPr="001E6B7C">
        <w:rPr>
          <w:bCs/>
          <w:lang w:val="en-GB" w:eastAsia="nl-NL"/>
        </w:rPr>
        <w:t>tif</w:t>
      </w:r>
      <w:proofErr w:type="spellEnd"/>
      <w:r w:rsidRPr="001E6B7C">
        <w:rPr>
          <w:bCs/>
          <w:lang w:val="en-GB" w:eastAsia="nl-NL"/>
        </w:rPr>
        <w:t xml:space="preserve"> or .jpg files with a resolution of at least 600 dpi. Image material that has been downloaded from the internet generally is not acceptable due to low resolution.</w:t>
      </w:r>
    </w:p>
    <w:p w14:paraId="088423A2" w14:textId="77777777" w:rsidR="001E6B7C" w:rsidRDefault="001E6B7C" w:rsidP="001E6B7C">
      <w:pPr>
        <w:pStyle w:val="NoSpacing"/>
        <w:numPr>
          <w:ilvl w:val="0"/>
          <w:numId w:val="14"/>
        </w:numPr>
        <w:jc w:val="both"/>
        <w:rPr>
          <w:bCs/>
          <w:lang w:val="en-GB" w:eastAsia="nl-NL"/>
        </w:rPr>
      </w:pPr>
      <w:r w:rsidRPr="001E6B7C">
        <w:rPr>
          <w:bCs/>
          <w:lang w:val="en-GB" w:eastAsia="nl-NL"/>
        </w:rPr>
        <w:t xml:space="preserve">Submitted manuscripts are understood to be final versions. They must not have been published or submitted for publication elsewhere. </w:t>
      </w:r>
    </w:p>
    <w:p w14:paraId="5057BFCA" w14:textId="77777777" w:rsidR="001E6B7C" w:rsidRPr="001E6B7C" w:rsidRDefault="001E6B7C" w:rsidP="001E6B7C">
      <w:pPr>
        <w:pStyle w:val="NoSpacing"/>
        <w:numPr>
          <w:ilvl w:val="0"/>
          <w:numId w:val="14"/>
        </w:numPr>
        <w:jc w:val="both"/>
        <w:rPr>
          <w:bCs/>
          <w:lang w:val="en-GB" w:eastAsia="nl-NL"/>
        </w:rPr>
      </w:pPr>
      <w:r w:rsidRPr="001E6B7C">
        <w:rPr>
          <w:bCs/>
          <w:lang w:val="en-GB" w:eastAsia="nl-NL"/>
        </w:rPr>
        <w:t>Manuscripts should be submitted electronically, in Word format, via e-mail.</w:t>
      </w:r>
    </w:p>
    <w:p w14:paraId="51657C3A" w14:textId="77777777" w:rsidR="00C311B3" w:rsidRDefault="00C311B3" w:rsidP="00C311B3">
      <w:pPr>
        <w:pStyle w:val="NoSpacing"/>
        <w:jc w:val="both"/>
        <w:rPr>
          <w:rFonts w:asciiTheme="minorHAnsi" w:hAnsiTheme="minorHAnsi"/>
          <w:lang w:val="en-US"/>
        </w:rPr>
      </w:pPr>
    </w:p>
    <w:p w14:paraId="3D5BA0BA" w14:textId="0CBEF3BF" w:rsidR="00C311B3" w:rsidRPr="00B004E3" w:rsidRDefault="00C311B3" w:rsidP="00C311B3">
      <w:pPr>
        <w:pStyle w:val="NoSpacing"/>
        <w:jc w:val="both"/>
        <w:rPr>
          <w:rFonts w:asciiTheme="minorHAnsi" w:hAnsiTheme="minorHAnsi"/>
          <w:lang w:val="en-US"/>
        </w:rPr>
      </w:pPr>
      <w:r w:rsidRPr="00B004E3">
        <w:rPr>
          <w:rFonts w:asciiTheme="minorHAnsi" w:hAnsiTheme="minorHAnsi"/>
          <w:lang w:val="en-US"/>
        </w:rPr>
        <w:t xml:space="preserve">For further information on style, see the </w:t>
      </w:r>
      <w:hyperlink r:id="rId9" w:anchor="guidelines" w:history="1">
        <w:r w:rsidRPr="00A32BD5">
          <w:rPr>
            <w:rStyle w:val="Hyperlink"/>
            <w:rFonts w:asciiTheme="minorHAnsi" w:hAnsiTheme="minorHAnsi"/>
            <w:lang w:val="en-US"/>
          </w:rPr>
          <w:t>House Style Guide</w:t>
        </w:r>
      </w:hyperlink>
      <w:r>
        <w:rPr>
          <w:rFonts w:asciiTheme="minorHAnsi" w:hAnsiTheme="minorHAnsi"/>
          <w:lang w:val="en-US"/>
        </w:rPr>
        <w:t>.</w:t>
      </w:r>
    </w:p>
    <w:p w14:paraId="6889B275" w14:textId="77777777" w:rsidR="00A275BB" w:rsidRDefault="00A275BB" w:rsidP="00C37286">
      <w:pPr>
        <w:pStyle w:val="NoSpacing"/>
        <w:jc w:val="both"/>
        <w:rPr>
          <w:rFonts w:asciiTheme="minorHAnsi" w:hAnsiTheme="minorHAnsi"/>
          <w:lang w:val="en-US"/>
        </w:rPr>
      </w:pPr>
    </w:p>
    <w:p w14:paraId="7DF1EFF3" w14:textId="77777777" w:rsidR="005012E2" w:rsidRDefault="005012E2" w:rsidP="00C37286">
      <w:pPr>
        <w:pStyle w:val="NoSpacing"/>
        <w:jc w:val="both"/>
        <w:rPr>
          <w:rFonts w:asciiTheme="minorHAnsi" w:hAnsiTheme="minorHAnsi"/>
          <w:lang w:val="en-US"/>
        </w:rPr>
      </w:pPr>
    </w:p>
    <w:p w14:paraId="168904D1" w14:textId="5222383E" w:rsidR="00A275BB" w:rsidRDefault="00A275BB" w:rsidP="00F9168C">
      <w:pPr>
        <w:pStyle w:val="NoSpacing"/>
        <w:jc w:val="both"/>
        <w:rPr>
          <w:b/>
          <w:lang w:val="en-US"/>
        </w:rPr>
      </w:pPr>
      <w:r w:rsidRPr="00F9168C">
        <w:rPr>
          <w:b/>
          <w:lang w:val="en-US"/>
        </w:rPr>
        <w:t>[D] Appropriate structure of an article</w:t>
      </w:r>
    </w:p>
    <w:p w14:paraId="0EBFAD40" w14:textId="77777777" w:rsidR="00F9168C" w:rsidRPr="00F9168C" w:rsidRDefault="00F9168C" w:rsidP="00F9168C">
      <w:pPr>
        <w:pStyle w:val="NoSpacing"/>
        <w:jc w:val="both"/>
        <w:rPr>
          <w:b/>
          <w:lang w:val="en-US"/>
        </w:rPr>
      </w:pPr>
    </w:p>
    <w:p w14:paraId="5C1A8B27" w14:textId="3FAC06F5" w:rsidR="00A275BB" w:rsidRPr="00F9168C" w:rsidRDefault="00A275BB" w:rsidP="00F9168C">
      <w:pPr>
        <w:pStyle w:val="NoSpacing"/>
        <w:numPr>
          <w:ilvl w:val="0"/>
          <w:numId w:val="18"/>
        </w:numPr>
        <w:jc w:val="both"/>
        <w:rPr>
          <w:bCs/>
          <w:lang w:val="en-GB" w:eastAsia="nl-NL"/>
        </w:rPr>
      </w:pPr>
      <w:r w:rsidRPr="00F9168C">
        <w:rPr>
          <w:bCs/>
          <w:lang w:val="en-GB" w:eastAsia="nl-NL"/>
        </w:rPr>
        <w:t>An article should start with a section ‘Introduction’ or some similar heading which should include (more explicitly):</w:t>
      </w:r>
    </w:p>
    <w:p w14:paraId="01593D73" w14:textId="77777777" w:rsidR="00A275BB" w:rsidRPr="00F9168C" w:rsidRDefault="00A275BB" w:rsidP="00F9168C">
      <w:pPr>
        <w:pStyle w:val="ListParagraph"/>
        <w:numPr>
          <w:ilvl w:val="0"/>
          <w:numId w:val="19"/>
        </w:numPr>
        <w:spacing w:after="160" w:line="259" w:lineRule="auto"/>
        <w:rPr>
          <w:rFonts w:asciiTheme="minorHAnsi" w:hAnsiTheme="minorHAnsi" w:cstheme="minorHAnsi"/>
          <w:sz w:val="22"/>
          <w:szCs w:val="22"/>
          <w:lang w:val="en-GB"/>
        </w:rPr>
      </w:pPr>
      <w:r w:rsidRPr="00F9168C">
        <w:rPr>
          <w:rFonts w:asciiTheme="minorHAnsi" w:hAnsiTheme="minorHAnsi" w:cstheme="minorHAnsi"/>
          <w:sz w:val="22"/>
          <w:szCs w:val="22"/>
          <w:lang w:val="en-GB"/>
        </w:rPr>
        <w:t>Justification of choice, i.e., the scientific and societal relevance should be illustrated.</w:t>
      </w:r>
    </w:p>
    <w:p w14:paraId="579715EE" w14:textId="77777777" w:rsidR="00A275BB" w:rsidRPr="00F9168C" w:rsidRDefault="00A275BB" w:rsidP="00F9168C">
      <w:pPr>
        <w:pStyle w:val="ListParagraph"/>
        <w:numPr>
          <w:ilvl w:val="0"/>
          <w:numId w:val="19"/>
        </w:numPr>
        <w:spacing w:after="160" w:line="259" w:lineRule="auto"/>
        <w:rPr>
          <w:rFonts w:asciiTheme="minorHAnsi" w:hAnsiTheme="minorHAnsi" w:cstheme="minorHAnsi"/>
          <w:sz w:val="22"/>
          <w:szCs w:val="22"/>
          <w:lang w:val="en-GB"/>
        </w:rPr>
      </w:pPr>
      <w:r w:rsidRPr="00F9168C">
        <w:rPr>
          <w:rFonts w:asciiTheme="minorHAnsi" w:hAnsiTheme="minorHAnsi" w:cstheme="minorHAnsi"/>
          <w:sz w:val="22"/>
          <w:szCs w:val="22"/>
          <w:lang w:val="en-GB"/>
        </w:rPr>
        <w:t>A research question (problem definition): this should be an academic research question, well-defined, as concrete as possible with sub-questions as the case may be; the research question must not only include what the state of play of EU tax law is (is-question), but also what desirable EU tax law is (should-question); alternatively a hypothesis can be used.</w:t>
      </w:r>
    </w:p>
    <w:p w14:paraId="5A312B4B" w14:textId="77777777" w:rsidR="00A275BB" w:rsidRPr="00F9168C" w:rsidRDefault="00A275BB" w:rsidP="00F9168C">
      <w:pPr>
        <w:pStyle w:val="ListParagraph"/>
        <w:numPr>
          <w:ilvl w:val="0"/>
          <w:numId w:val="19"/>
        </w:numPr>
        <w:spacing w:after="160" w:line="259" w:lineRule="auto"/>
        <w:rPr>
          <w:rFonts w:asciiTheme="minorHAnsi" w:hAnsiTheme="minorHAnsi" w:cstheme="minorHAnsi"/>
          <w:sz w:val="22"/>
          <w:szCs w:val="22"/>
          <w:lang w:val="en-GB"/>
        </w:rPr>
      </w:pPr>
      <w:r w:rsidRPr="00F9168C">
        <w:rPr>
          <w:rFonts w:asciiTheme="minorHAnsi" w:hAnsiTheme="minorHAnsi" w:cstheme="minorHAnsi"/>
          <w:sz w:val="22"/>
          <w:szCs w:val="22"/>
          <w:lang w:val="en-GB"/>
        </w:rPr>
        <w:t>A justification of the outline (structure): what will be dealt with, why, why in the order indicated, what not and why not (delineation); each sub-question can often be used for a separate section;</w:t>
      </w:r>
      <w:r w:rsidRPr="00F9168C">
        <w:rPr>
          <w:rFonts w:asciiTheme="minorHAnsi" w:hAnsiTheme="minorHAnsi" w:cstheme="minorHAnsi"/>
          <w:sz w:val="22"/>
          <w:szCs w:val="22"/>
        </w:rPr>
        <w:t xml:space="preserve"> </w:t>
      </w:r>
      <w:r w:rsidRPr="00F9168C">
        <w:rPr>
          <w:rFonts w:asciiTheme="minorHAnsi" w:hAnsiTheme="minorHAnsi" w:cstheme="minorHAnsi"/>
          <w:sz w:val="22"/>
          <w:szCs w:val="22"/>
          <w:lang w:val="en-GB"/>
        </w:rPr>
        <w:t>heading levels should be clearly indicated.</w:t>
      </w:r>
    </w:p>
    <w:p w14:paraId="2B56CDC4" w14:textId="77777777" w:rsidR="00A275BB" w:rsidRPr="00F9168C" w:rsidRDefault="00A275BB" w:rsidP="00F9168C">
      <w:pPr>
        <w:pStyle w:val="ListParagraph"/>
        <w:numPr>
          <w:ilvl w:val="0"/>
          <w:numId w:val="19"/>
        </w:numPr>
        <w:spacing w:after="160" w:line="259" w:lineRule="auto"/>
        <w:rPr>
          <w:rFonts w:asciiTheme="minorHAnsi" w:hAnsiTheme="minorHAnsi" w:cstheme="minorHAnsi"/>
          <w:sz w:val="22"/>
          <w:szCs w:val="22"/>
          <w:lang w:val="en-GB"/>
        </w:rPr>
      </w:pPr>
      <w:r w:rsidRPr="00F9168C">
        <w:rPr>
          <w:rFonts w:asciiTheme="minorHAnsi" w:hAnsiTheme="minorHAnsi" w:cstheme="minorHAnsi"/>
          <w:sz w:val="22"/>
          <w:szCs w:val="22"/>
          <w:lang w:val="en-GB"/>
        </w:rPr>
        <w:t>The research method: for example, a legal-dogmatic study (doctrinal study): a study (description, analysis and evaluation) that identifies applicable and desirable law, as contained in written and unwritten European, national and international tax rules, treaties, court decisions, principles, concepts, doctrines and articles in the literature that have been commented on (sources of law, literature and documents are used in this study; sources of law include both national, European and international law, European and (inter)national legal history and case law; literature includes articles, handbooks and professional journals; documents may include, for example, reports, published policies and electronic sources); comparative law; empirical research; interdisciplinary research; multidisciplinary research; combinations of the foregoing examples.</w:t>
      </w:r>
    </w:p>
    <w:p w14:paraId="3C2092CC" w14:textId="77777777" w:rsidR="00A275BB" w:rsidRPr="00F9168C" w:rsidRDefault="00A275BB" w:rsidP="00F9168C">
      <w:pPr>
        <w:pStyle w:val="ListParagraph"/>
        <w:numPr>
          <w:ilvl w:val="0"/>
          <w:numId w:val="19"/>
        </w:numPr>
        <w:spacing w:after="160" w:line="259" w:lineRule="auto"/>
        <w:rPr>
          <w:rFonts w:asciiTheme="minorHAnsi" w:hAnsiTheme="minorHAnsi" w:cstheme="minorHAnsi"/>
          <w:sz w:val="22"/>
          <w:szCs w:val="22"/>
          <w:lang w:val="en-GB"/>
        </w:rPr>
      </w:pPr>
      <w:r w:rsidRPr="00F9168C">
        <w:rPr>
          <w:rFonts w:asciiTheme="minorHAnsi" w:hAnsiTheme="minorHAnsi" w:cstheme="minorHAnsi"/>
          <w:sz w:val="22"/>
          <w:szCs w:val="22"/>
          <w:lang w:val="en-GB"/>
        </w:rPr>
        <w:t>Benchmark: what is the scientific and theoretical assessment framework; the benchmark should also be included in the research question; a benchmark is needed to assess the current situation and to formulate recommendations; the benchmark can be included in the section 'Introduction' or being developed in a separate section, preferably, directly after the section 'Introduction' so that it can be used when describing, analysing, and evaluating, for example, a CJEU's reasoning and decision.</w:t>
      </w:r>
    </w:p>
    <w:p w14:paraId="48AC7799" w14:textId="77777777" w:rsidR="00A275BB" w:rsidRPr="00F9168C" w:rsidRDefault="00A275BB" w:rsidP="00F9168C">
      <w:pPr>
        <w:pStyle w:val="NoSpacing"/>
        <w:numPr>
          <w:ilvl w:val="0"/>
          <w:numId w:val="18"/>
        </w:numPr>
        <w:jc w:val="both"/>
        <w:rPr>
          <w:bCs/>
          <w:lang w:val="en-GB" w:eastAsia="nl-NL"/>
        </w:rPr>
      </w:pPr>
      <w:r w:rsidRPr="00F9168C">
        <w:rPr>
          <w:bCs/>
          <w:lang w:val="en-GB" w:eastAsia="nl-NL"/>
        </w:rPr>
        <w:t>Summary/Conclusions: an article should end with a section 'Summary/Conclusions' or a similar heading, which explicitly answers the research question and sub-questions (as the case may be) and makes recommendations.</w:t>
      </w:r>
    </w:p>
    <w:p w14:paraId="1B74FA1B" w14:textId="77777777" w:rsidR="00A275BB" w:rsidRPr="00F9168C" w:rsidRDefault="00A275BB" w:rsidP="00F9168C">
      <w:pPr>
        <w:pStyle w:val="NoSpacing"/>
        <w:numPr>
          <w:ilvl w:val="0"/>
          <w:numId w:val="18"/>
        </w:numPr>
        <w:jc w:val="both"/>
        <w:rPr>
          <w:bCs/>
          <w:lang w:val="en-GB" w:eastAsia="nl-NL"/>
        </w:rPr>
      </w:pPr>
      <w:r w:rsidRPr="00F9168C">
        <w:rPr>
          <w:bCs/>
          <w:lang w:val="en-GB" w:eastAsia="nl-NL"/>
        </w:rPr>
        <w:t>Special attention should be paid to quotations, footnotes, and references. All citations and quotations must be verified before submission of the manuscript.</w:t>
      </w:r>
    </w:p>
    <w:p w14:paraId="39BE688A" w14:textId="77777777" w:rsidR="00A275BB" w:rsidRDefault="00A275BB" w:rsidP="005012E2">
      <w:pPr>
        <w:pStyle w:val="NoSpacing"/>
        <w:numPr>
          <w:ilvl w:val="0"/>
          <w:numId w:val="18"/>
        </w:numPr>
        <w:jc w:val="both"/>
        <w:rPr>
          <w:bCs/>
          <w:lang w:val="en-GB" w:eastAsia="nl-NL"/>
        </w:rPr>
      </w:pPr>
      <w:r w:rsidRPr="00F9168C">
        <w:rPr>
          <w:bCs/>
          <w:lang w:val="en-GB" w:eastAsia="nl-NL"/>
        </w:rPr>
        <w:t>An article should not exceed 12,000 words.</w:t>
      </w:r>
    </w:p>
    <w:p w14:paraId="193537C9" w14:textId="77777777" w:rsidR="005012E2" w:rsidRDefault="005012E2" w:rsidP="00F9168C">
      <w:pPr>
        <w:pStyle w:val="NoSpacing"/>
        <w:ind w:left="360"/>
        <w:jc w:val="both"/>
        <w:rPr>
          <w:bCs/>
          <w:lang w:val="en-GB" w:eastAsia="nl-NL"/>
        </w:rPr>
      </w:pPr>
    </w:p>
    <w:p w14:paraId="6177CDD8" w14:textId="77777777" w:rsidR="005012E2" w:rsidRPr="00F9168C" w:rsidRDefault="005012E2" w:rsidP="00F9168C">
      <w:pPr>
        <w:pStyle w:val="NoSpacing"/>
        <w:ind w:left="360"/>
        <w:jc w:val="both"/>
        <w:rPr>
          <w:bCs/>
          <w:lang w:val="en-GB" w:eastAsia="nl-NL"/>
        </w:rPr>
      </w:pPr>
    </w:p>
    <w:p w14:paraId="13ABB8CC" w14:textId="6DE0CBB1" w:rsidR="00A275BB" w:rsidRDefault="00A275BB" w:rsidP="00F9168C">
      <w:pPr>
        <w:rPr>
          <w:rFonts w:ascii="Calibri" w:eastAsia="Calibri" w:hAnsi="Calibri"/>
          <w:b/>
          <w:sz w:val="22"/>
          <w:szCs w:val="22"/>
        </w:rPr>
      </w:pPr>
      <w:r w:rsidRPr="00F9168C">
        <w:rPr>
          <w:rFonts w:ascii="Calibri" w:eastAsia="Calibri" w:hAnsi="Calibri"/>
          <w:b/>
          <w:sz w:val="22"/>
          <w:szCs w:val="22"/>
        </w:rPr>
        <w:t>[E] Appropriate structure of a forum contribution</w:t>
      </w:r>
    </w:p>
    <w:p w14:paraId="6ED9812F" w14:textId="77777777" w:rsidR="00F9168C" w:rsidRPr="00F9168C" w:rsidRDefault="00F9168C" w:rsidP="00F9168C">
      <w:pPr>
        <w:rPr>
          <w:rFonts w:ascii="Calibri" w:eastAsia="Calibri" w:hAnsi="Calibri"/>
          <w:b/>
          <w:sz w:val="22"/>
          <w:szCs w:val="22"/>
        </w:rPr>
      </w:pPr>
    </w:p>
    <w:p w14:paraId="6A14CF03" w14:textId="77777777" w:rsidR="00A275BB" w:rsidRPr="00F9168C" w:rsidRDefault="00A275BB" w:rsidP="00F9168C">
      <w:pPr>
        <w:pStyle w:val="NoSpacing"/>
        <w:numPr>
          <w:ilvl w:val="0"/>
          <w:numId w:val="24"/>
        </w:numPr>
        <w:jc w:val="both"/>
        <w:rPr>
          <w:bCs/>
          <w:lang w:val="en-GB" w:eastAsia="nl-NL"/>
        </w:rPr>
      </w:pPr>
      <w:r w:rsidRPr="00F9168C">
        <w:rPr>
          <w:bCs/>
          <w:lang w:val="en-GB" w:eastAsia="nl-NL"/>
        </w:rPr>
        <w:t>A forum contribution includes short notes on recent topics.</w:t>
      </w:r>
    </w:p>
    <w:p w14:paraId="3B568B65" w14:textId="77777777" w:rsidR="00A275BB" w:rsidRPr="00F9168C" w:rsidRDefault="00A275BB" w:rsidP="00F9168C">
      <w:pPr>
        <w:pStyle w:val="NoSpacing"/>
        <w:numPr>
          <w:ilvl w:val="0"/>
          <w:numId w:val="24"/>
        </w:numPr>
        <w:jc w:val="both"/>
        <w:rPr>
          <w:bCs/>
          <w:lang w:val="en-GB" w:eastAsia="nl-NL"/>
        </w:rPr>
      </w:pPr>
      <w:r w:rsidRPr="00F9168C">
        <w:rPr>
          <w:bCs/>
          <w:lang w:val="en-GB" w:eastAsia="nl-NL"/>
        </w:rPr>
        <w:t>In general, it should start with an explicit section 'Introduction' or something similar and should at least include the academic and societal relevance of the topic, the research question or hypothesis, a benchmark, the structure of the contribution and (preferably) also the methodology. Compare what has been noted concerning an article, but in respect of a forum, all will be elaborated less extensively.</w:t>
      </w:r>
    </w:p>
    <w:p w14:paraId="022E6B5A" w14:textId="77777777" w:rsidR="00A275BB" w:rsidRPr="00F9168C" w:rsidRDefault="00A275BB" w:rsidP="00F9168C">
      <w:pPr>
        <w:pStyle w:val="NoSpacing"/>
        <w:numPr>
          <w:ilvl w:val="0"/>
          <w:numId w:val="24"/>
        </w:numPr>
        <w:jc w:val="both"/>
        <w:rPr>
          <w:bCs/>
          <w:lang w:val="en-GB" w:eastAsia="nl-NL"/>
        </w:rPr>
      </w:pPr>
      <w:r w:rsidRPr="00F9168C">
        <w:rPr>
          <w:bCs/>
          <w:lang w:val="en-GB" w:eastAsia="nl-NL"/>
        </w:rPr>
        <w:t>A forum contribution should also conclude with an explicit answer to the research question or hypothesis.</w:t>
      </w:r>
    </w:p>
    <w:p w14:paraId="49D8FE03" w14:textId="36871C29" w:rsidR="00A275BB" w:rsidRPr="00F9168C" w:rsidRDefault="00A275BB" w:rsidP="00F9168C">
      <w:pPr>
        <w:pStyle w:val="NoSpacing"/>
        <w:numPr>
          <w:ilvl w:val="0"/>
          <w:numId w:val="24"/>
        </w:numPr>
        <w:jc w:val="both"/>
        <w:rPr>
          <w:bCs/>
          <w:lang w:val="en-GB" w:eastAsia="nl-NL"/>
        </w:rPr>
      </w:pPr>
      <w:r w:rsidRPr="00F9168C">
        <w:rPr>
          <w:bCs/>
          <w:lang w:val="en-GB" w:eastAsia="nl-NL"/>
        </w:rPr>
        <w:t>For a forum contribution, the maximum is 5,000 words.</w:t>
      </w:r>
    </w:p>
    <w:p w14:paraId="24959A47" w14:textId="4BC357FC" w:rsidR="00A275BB" w:rsidRPr="00F9168C" w:rsidRDefault="00A275BB" w:rsidP="00F9168C">
      <w:pPr>
        <w:pStyle w:val="NoSpacing"/>
        <w:numPr>
          <w:ilvl w:val="0"/>
          <w:numId w:val="24"/>
        </w:numPr>
        <w:jc w:val="both"/>
        <w:rPr>
          <w:bCs/>
          <w:lang w:val="en-GB" w:eastAsia="nl-NL"/>
        </w:rPr>
      </w:pPr>
      <w:r w:rsidRPr="00F9168C">
        <w:rPr>
          <w:bCs/>
          <w:lang w:val="en-GB" w:eastAsia="nl-NL"/>
        </w:rPr>
        <w:t xml:space="preserve">The points 2 – </w:t>
      </w:r>
      <w:r w:rsidR="008A40AA">
        <w:rPr>
          <w:bCs/>
          <w:lang w:val="en-GB" w:eastAsia="nl-NL"/>
        </w:rPr>
        <w:t>3</w:t>
      </w:r>
      <w:r w:rsidRPr="00F9168C">
        <w:rPr>
          <w:bCs/>
          <w:lang w:val="en-GB" w:eastAsia="nl-NL"/>
        </w:rPr>
        <w:t xml:space="preserve"> concerning an article are equally relevant for a forum.</w:t>
      </w:r>
    </w:p>
    <w:p w14:paraId="2416C712" w14:textId="77777777" w:rsidR="00A275BB" w:rsidRDefault="00A275BB" w:rsidP="00C37286">
      <w:pPr>
        <w:pStyle w:val="NoSpacing"/>
        <w:jc w:val="both"/>
        <w:rPr>
          <w:rFonts w:asciiTheme="minorHAnsi" w:hAnsiTheme="minorHAnsi"/>
          <w:lang w:val="en-US"/>
        </w:rPr>
      </w:pPr>
    </w:p>
    <w:p w14:paraId="3C25BCFB" w14:textId="77777777" w:rsidR="005012E2" w:rsidRDefault="005012E2" w:rsidP="00C37286">
      <w:pPr>
        <w:pStyle w:val="NoSpacing"/>
        <w:jc w:val="both"/>
        <w:rPr>
          <w:rFonts w:asciiTheme="minorHAnsi" w:hAnsiTheme="minorHAnsi"/>
          <w:lang w:val="en-US"/>
        </w:rPr>
      </w:pPr>
    </w:p>
    <w:p w14:paraId="0BDB07E0" w14:textId="78AE3ED9" w:rsidR="00A275BB" w:rsidRDefault="00A275BB" w:rsidP="00F9168C">
      <w:pPr>
        <w:rPr>
          <w:rFonts w:ascii="Calibri" w:eastAsia="Calibri" w:hAnsi="Calibri"/>
          <w:b/>
          <w:sz w:val="22"/>
          <w:szCs w:val="22"/>
        </w:rPr>
      </w:pPr>
      <w:r w:rsidRPr="00F9168C">
        <w:rPr>
          <w:rFonts w:ascii="Calibri" w:eastAsia="Calibri" w:hAnsi="Calibri"/>
          <w:b/>
          <w:sz w:val="22"/>
          <w:szCs w:val="22"/>
        </w:rPr>
        <w:t>[F] Appropriate structure of a conference report</w:t>
      </w:r>
    </w:p>
    <w:p w14:paraId="4469DB8B" w14:textId="77777777" w:rsidR="00F9168C" w:rsidRPr="00F9168C" w:rsidRDefault="00F9168C" w:rsidP="00F9168C">
      <w:pPr>
        <w:rPr>
          <w:rFonts w:ascii="Calibri" w:eastAsia="Calibri" w:hAnsi="Calibri"/>
          <w:b/>
          <w:sz w:val="22"/>
          <w:szCs w:val="22"/>
        </w:rPr>
      </w:pPr>
    </w:p>
    <w:p w14:paraId="0FDE2F33" w14:textId="77777777" w:rsidR="005012E2" w:rsidRDefault="00A275BB" w:rsidP="00F9168C">
      <w:pPr>
        <w:pStyle w:val="NoSpacing"/>
        <w:numPr>
          <w:ilvl w:val="0"/>
          <w:numId w:val="28"/>
        </w:numPr>
        <w:jc w:val="both"/>
        <w:rPr>
          <w:bCs/>
          <w:lang w:val="en-GB" w:eastAsia="nl-NL"/>
        </w:rPr>
      </w:pPr>
      <w:r w:rsidRPr="00F9168C">
        <w:rPr>
          <w:bCs/>
          <w:lang w:val="en-GB" w:eastAsia="nl-NL"/>
        </w:rPr>
        <w:t xml:space="preserve">The contribution should not only report on what has been discussed at the conference, but the author should also include their additional thoughts to the individual parts of the conference contributions. </w:t>
      </w:r>
    </w:p>
    <w:p w14:paraId="45A28E22" w14:textId="76615A9D" w:rsidR="00A275BB" w:rsidRPr="00F9168C" w:rsidRDefault="00A275BB" w:rsidP="00F9168C">
      <w:pPr>
        <w:pStyle w:val="NoSpacing"/>
        <w:numPr>
          <w:ilvl w:val="0"/>
          <w:numId w:val="28"/>
        </w:numPr>
        <w:jc w:val="both"/>
        <w:rPr>
          <w:bCs/>
          <w:lang w:val="en-GB" w:eastAsia="nl-NL"/>
        </w:rPr>
      </w:pPr>
      <w:r w:rsidRPr="00F9168C">
        <w:rPr>
          <w:bCs/>
          <w:lang w:val="en-GB" w:eastAsia="nl-NL"/>
        </w:rPr>
        <w:t>For a conference report, the maximum is 6,000 words.</w:t>
      </w:r>
    </w:p>
    <w:p w14:paraId="083378D6" w14:textId="201335B1" w:rsidR="00A275BB" w:rsidRDefault="00A275BB" w:rsidP="00F9168C">
      <w:pPr>
        <w:pStyle w:val="NoSpacing"/>
        <w:numPr>
          <w:ilvl w:val="0"/>
          <w:numId w:val="28"/>
        </w:numPr>
        <w:jc w:val="both"/>
        <w:rPr>
          <w:bCs/>
          <w:lang w:val="en-GB" w:eastAsia="nl-NL"/>
        </w:rPr>
      </w:pPr>
      <w:r w:rsidRPr="00F9168C">
        <w:rPr>
          <w:bCs/>
          <w:lang w:val="en-GB" w:eastAsia="nl-NL"/>
        </w:rPr>
        <w:t xml:space="preserve">The points 2 – </w:t>
      </w:r>
      <w:r w:rsidR="002E6330">
        <w:rPr>
          <w:bCs/>
          <w:lang w:val="en-GB" w:eastAsia="nl-NL"/>
        </w:rPr>
        <w:t>3</w:t>
      </w:r>
      <w:r w:rsidRPr="00F9168C">
        <w:rPr>
          <w:bCs/>
          <w:lang w:val="en-GB" w:eastAsia="nl-NL"/>
        </w:rPr>
        <w:t xml:space="preserve"> concerning an article are equally relevant for a conference report.</w:t>
      </w:r>
    </w:p>
    <w:p w14:paraId="16C93EA5" w14:textId="77777777" w:rsidR="005012E2" w:rsidRDefault="005012E2" w:rsidP="005012E2">
      <w:pPr>
        <w:rPr>
          <w:rFonts w:ascii="Calibri" w:eastAsia="Calibri" w:hAnsi="Calibri"/>
          <w:b/>
          <w:sz w:val="22"/>
          <w:szCs w:val="22"/>
        </w:rPr>
      </w:pPr>
    </w:p>
    <w:p w14:paraId="51BCF1E7" w14:textId="77777777" w:rsidR="005012E2" w:rsidRPr="00F9168C" w:rsidRDefault="005012E2" w:rsidP="00F9168C">
      <w:pPr>
        <w:rPr>
          <w:rFonts w:ascii="Calibri" w:eastAsia="Calibri" w:hAnsi="Calibri"/>
          <w:b/>
          <w:sz w:val="22"/>
          <w:szCs w:val="22"/>
        </w:rPr>
      </w:pPr>
    </w:p>
    <w:p w14:paraId="5380696E" w14:textId="07ED2C8F" w:rsidR="00A275BB" w:rsidRDefault="00A275BB" w:rsidP="00F9168C">
      <w:pPr>
        <w:rPr>
          <w:rFonts w:ascii="Calibri" w:eastAsia="Calibri" w:hAnsi="Calibri"/>
          <w:b/>
          <w:sz w:val="22"/>
          <w:szCs w:val="22"/>
        </w:rPr>
      </w:pPr>
      <w:r w:rsidRPr="00F9168C">
        <w:rPr>
          <w:rFonts w:ascii="Calibri" w:eastAsia="Calibri" w:hAnsi="Calibri"/>
          <w:b/>
          <w:sz w:val="22"/>
          <w:szCs w:val="22"/>
        </w:rPr>
        <w:t>[G] Appropriate structure of a guest editorial</w:t>
      </w:r>
    </w:p>
    <w:p w14:paraId="397CF7D6" w14:textId="77777777" w:rsidR="00F9168C" w:rsidRPr="00F9168C" w:rsidRDefault="00F9168C" w:rsidP="00F9168C">
      <w:pPr>
        <w:rPr>
          <w:rFonts w:ascii="Calibri" w:eastAsia="Calibri" w:hAnsi="Calibri"/>
          <w:b/>
          <w:sz w:val="22"/>
          <w:szCs w:val="22"/>
        </w:rPr>
      </w:pPr>
    </w:p>
    <w:p w14:paraId="005984C5" w14:textId="1BFF844C" w:rsidR="00A275BB" w:rsidRPr="00F9168C" w:rsidRDefault="00A275BB" w:rsidP="00F9168C">
      <w:pPr>
        <w:pStyle w:val="NoSpacing"/>
        <w:jc w:val="both"/>
        <w:rPr>
          <w:rFonts w:asciiTheme="minorHAnsi" w:hAnsiTheme="minorHAnsi"/>
          <w:lang w:val="en-US"/>
        </w:rPr>
      </w:pPr>
      <w:r w:rsidRPr="00F9168C">
        <w:rPr>
          <w:rFonts w:asciiTheme="minorHAnsi" w:hAnsiTheme="minorHAnsi"/>
          <w:lang w:val="en-US"/>
        </w:rPr>
        <w:t xml:space="preserve">Although an editorial is almost always written by a member of the Editorial Board, by exception, it is also possible that another person writes a guest editorial. The points 2 – </w:t>
      </w:r>
      <w:r w:rsidR="00D03BD0">
        <w:rPr>
          <w:rFonts w:asciiTheme="minorHAnsi" w:hAnsiTheme="minorHAnsi"/>
          <w:lang w:val="en-US"/>
        </w:rPr>
        <w:t>3</w:t>
      </w:r>
      <w:r w:rsidRPr="00F9168C">
        <w:rPr>
          <w:rFonts w:asciiTheme="minorHAnsi" w:hAnsiTheme="minorHAnsi"/>
          <w:lang w:val="en-US"/>
        </w:rPr>
        <w:t xml:space="preserve"> concerning an article are equally relevant for a guest editorial.</w:t>
      </w:r>
    </w:p>
    <w:p w14:paraId="34073E7E" w14:textId="729ED077" w:rsidR="00C37286" w:rsidRDefault="00C37286" w:rsidP="00C37286">
      <w:pPr>
        <w:pStyle w:val="NoSpacing"/>
        <w:jc w:val="both"/>
        <w:rPr>
          <w:rFonts w:asciiTheme="minorHAnsi" w:hAnsiTheme="minorHAnsi"/>
          <w:lang w:val="en-US"/>
        </w:rPr>
      </w:pPr>
    </w:p>
    <w:p w14:paraId="5F42EB00" w14:textId="77777777" w:rsidR="005012E2" w:rsidRDefault="005012E2" w:rsidP="00C37286">
      <w:pPr>
        <w:pStyle w:val="NoSpacing"/>
        <w:jc w:val="both"/>
        <w:rPr>
          <w:rFonts w:asciiTheme="minorHAnsi" w:hAnsiTheme="minorHAnsi"/>
          <w:lang w:val="en-US"/>
        </w:rPr>
      </w:pPr>
    </w:p>
    <w:p w14:paraId="14F540B7" w14:textId="2F539B7E" w:rsidR="00C37286" w:rsidRDefault="00C37286" w:rsidP="00C37286">
      <w:pPr>
        <w:pStyle w:val="NoSpacing"/>
        <w:jc w:val="both"/>
        <w:rPr>
          <w:rFonts w:asciiTheme="minorHAnsi" w:hAnsiTheme="minorHAnsi"/>
          <w:b/>
          <w:lang w:val="en-US"/>
        </w:rPr>
      </w:pPr>
      <w:r>
        <w:rPr>
          <w:rFonts w:asciiTheme="minorHAnsi" w:hAnsiTheme="minorHAnsi"/>
          <w:b/>
          <w:lang w:val="en-US"/>
        </w:rPr>
        <w:t>[</w:t>
      </w:r>
      <w:r w:rsidR="00E22D06">
        <w:rPr>
          <w:rFonts w:asciiTheme="minorHAnsi" w:hAnsiTheme="minorHAnsi"/>
          <w:b/>
          <w:lang w:val="en-US"/>
        </w:rPr>
        <w:t>H</w:t>
      </w:r>
      <w:r w:rsidRPr="00B004E3">
        <w:rPr>
          <w:rFonts w:asciiTheme="minorHAnsi" w:hAnsiTheme="minorHAnsi"/>
          <w:b/>
          <w:lang w:val="en-US"/>
        </w:rPr>
        <w:t xml:space="preserve">] </w:t>
      </w:r>
      <w:r w:rsidRPr="00943EDE">
        <w:rPr>
          <w:rFonts w:asciiTheme="minorHAnsi" w:hAnsiTheme="minorHAnsi"/>
          <w:b/>
          <w:lang w:val="en-US"/>
        </w:rPr>
        <w:t xml:space="preserve">Regular </w:t>
      </w:r>
      <w:r>
        <w:rPr>
          <w:rFonts w:asciiTheme="minorHAnsi" w:hAnsiTheme="minorHAnsi"/>
          <w:b/>
          <w:lang w:val="en-US"/>
        </w:rPr>
        <w:t xml:space="preserve">Peer </w:t>
      </w:r>
      <w:r w:rsidRPr="00943EDE">
        <w:rPr>
          <w:rFonts w:asciiTheme="minorHAnsi" w:hAnsiTheme="minorHAnsi"/>
          <w:b/>
          <w:lang w:val="en-US"/>
        </w:rPr>
        <w:t>Review Process</w:t>
      </w:r>
    </w:p>
    <w:p w14:paraId="537657CF" w14:textId="77777777" w:rsidR="00F9168C" w:rsidRDefault="00F9168C" w:rsidP="00C37286">
      <w:pPr>
        <w:pStyle w:val="NoSpacing"/>
        <w:jc w:val="both"/>
        <w:rPr>
          <w:rFonts w:asciiTheme="minorHAnsi" w:hAnsiTheme="minorHAnsi"/>
          <w:b/>
          <w:lang w:val="en-US"/>
        </w:rPr>
      </w:pPr>
    </w:p>
    <w:p w14:paraId="633A960E" w14:textId="77777777" w:rsidR="0076312C" w:rsidRPr="00F9168C" w:rsidRDefault="00C37286" w:rsidP="00F9168C">
      <w:pPr>
        <w:pStyle w:val="NoSpacing"/>
        <w:numPr>
          <w:ilvl w:val="0"/>
          <w:numId w:val="29"/>
        </w:numPr>
        <w:jc w:val="both"/>
        <w:rPr>
          <w:bCs/>
          <w:lang w:val="en-GB" w:eastAsia="nl-NL"/>
        </w:rPr>
      </w:pPr>
      <w:r w:rsidRPr="00F9168C">
        <w:rPr>
          <w:bCs/>
          <w:lang w:val="en-GB" w:eastAsia="nl-NL"/>
        </w:rPr>
        <w:t>Before submitting to the publisher, manuscripts will be reviewed by the Editorial Board and may be returned to authors for revision.</w:t>
      </w:r>
    </w:p>
    <w:p w14:paraId="0A1DFCBA" w14:textId="02750F12" w:rsidR="00E22D06" w:rsidRPr="00F9168C" w:rsidRDefault="00E22D06" w:rsidP="00F9168C">
      <w:pPr>
        <w:pStyle w:val="NoSpacing"/>
        <w:numPr>
          <w:ilvl w:val="0"/>
          <w:numId w:val="29"/>
        </w:numPr>
        <w:jc w:val="both"/>
        <w:rPr>
          <w:bCs/>
          <w:lang w:val="en-GB" w:eastAsia="nl-NL"/>
        </w:rPr>
      </w:pPr>
      <w:r w:rsidRPr="00F9168C">
        <w:rPr>
          <w:bCs/>
          <w:lang w:val="en-GB" w:eastAsia="nl-NL"/>
        </w:rPr>
        <w:t>The article will be assessed on the following criteria: problem description, method of research, depth of analysis, originality, social relevance, and conclusions.</w:t>
      </w:r>
    </w:p>
    <w:p w14:paraId="0378C54E" w14:textId="1BD19EB2" w:rsidR="0076312C" w:rsidRPr="00F9168C" w:rsidRDefault="0076312C" w:rsidP="00F9168C">
      <w:pPr>
        <w:pStyle w:val="NoSpacing"/>
        <w:numPr>
          <w:ilvl w:val="0"/>
          <w:numId w:val="29"/>
        </w:numPr>
        <w:jc w:val="both"/>
        <w:rPr>
          <w:bCs/>
          <w:lang w:val="en-GB" w:eastAsia="nl-NL"/>
        </w:rPr>
      </w:pPr>
      <w:r w:rsidRPr="005012E2">
        <w:rPr>
          <w:bCs/>
          <w:lang w:val="en-GB" w:eastAsia="nl-NL"/>
        </w:rPr>
        <w:t>Authors should use track changes when incorporating changes suggested during the review process.</w:t>
      </w:r>
      <w:r w:rsidR="00E22D06" w:rsidRPr="005012E2">
        <w:rPr>
          <w:bCs/>
          <w:lang w:val="en-GB" w:eastAsia="nl-NL"/>
        </w:rPr>
        <w:t xml:space="preserve"> </w:t>
      </w:r>
      <w:r w:rsidR="00E22D06" w:rsidRPr="00F9168C">
        <w:rPr>
          <w:bCs/>
          <w:lang w:val="en-GB" w:eastAsia="nl-NL"/>
        </w:rPr>
        <w:t>Furthermore, authors should explain what they did change and why, and if they did not follow the suggestions made by the reviewers why they did not do so.</w:t>
      </w:r>
    </w:p>
    <w:p w14:paraId="230D693C" w14:textId="77777777" w:rsidR="00C37286" w:rsidRPr="00F9168C" w:rsidRDefault="00C37286" w:rsidP="00F9168C">
      <w:pPr>
        <w:pStyle w:val="NoSpacing"/>
        <w:numPr>
          <w:ilvl w:val="0"/>
          <w:numId w:val="29"/>
        </w:numPr>
        <w:jc w:val="both"/>
        <w:rPr>
          <w:bCs/>
          <w:lang w:val="en-GB" w:eastAsia="nl-NL"/>
        </w:rPr>
      </w:pPr>
      <w:r w:rsidRPr="00F9168C">
        <w:rPr>
          <w:bCs/>
          <w:lang w:val="en-GB" w:eastAsia="nl-NL"/>
        </w:rPr>
        <w:t xml:space="preserve">The editors reserve the right to make alterations as to style, punctuation, grammar etc. </w:t>
      </w:r>
    </w:p>
    <w:p w14:paraId="548AF272" w14:textId="77777777" w:rsidR="00C37286" w:rsidRPr="00F9168C" w:rsidRDefault="00C37286" w:rsidP="00F9168C">
      <w:pPr>
        <w:pStyle w:val="NoSpacing"/>
        <w:numPr>
          <w:ilvl w:val="0"/>
          <w:numId w:val="29"/>
        </w:numPr>
        <w:jc w:val="both"/>
        <w:rPr>
          <w:bCs/>
          <w:lang w:val="en-GB" w:eastAsia="nl-NL"/>
        </w:rPr>
      </w:pPr>
      <w:r w:rsidRPr="00F9168C">
        <w:rPr>
          <w:bCs/>
          <w:lang w:val="en-GB" w:eastAsia="nl-NL"/>
        </w:rPr>
        <w:t>Authors receive PDF proofs for review, and need to return these within three days.</w:t>
      </w:r>
    </w:p>
    <w:p w14:paraId="7183DC79" w14:textId="77777777" w:rsidR="00C37286" w:rsidRDefault="00C37286" w:rsidP="00C37286">
      <w:pPr>
        <w:pStyle w:val="NoSpacing"/>
        <w:jc w:val="both"/>
        <w:rPr>
          <w:rFonts w:asciiTheme="minorHAnsi" w:hAnsiTheme="minorHAnsi"/>
          <w:lang w:val="en-US"/>
        </w:rPr>
      </w:pPr>
    </w:p>
    <w:p w14:paraId="6AADFEB9" w14:textId="77777777" w:rsidR="00C37286" w:rsidRDefault="00C37286" w:rsidP="00C37286">
      <w:pPr>
        <w:pStyle w:val="NoSpacing"/>
        <w:jc w:val="both"/>
        <w:rPr>
          <w:rFonts w:asciiTheme="minorHAnsi" w:hAnsiTheme="minorHAnsi"/>
          <w:lang w:val="en-US"/>
        </w:rPr>
      </w:pPr>
    </w:p>
    <w:p w14:paraId="3011E749" w14:textId="43206F4D" w:rsidR="00C311B3" w:rsidRPr="00B004E3" w:rsidRDefault="00C311B3" w:rsidP="00C37286">
      <w:pPr>
        <w:pStyle w:val="NoSpacing"/>
        <w:jc w:val="both"/>
        <w:rPr>
          <w:rFonts w:asciiTheme="minorHAnsi" w:hAnsiTheme="minorHAnsi"/>
          <w:b/>
          <w:lang w:val="en-US"/>
        </w:rPr>
      </w:pPr>
      <w:r w:rsidRPr="00B004E3">
        <w:rPr>
          <w:rFonts w:asciiTheme="minorHAnsi" w:hAnsiTheme="minorHAnsi"/>
          <w:b/>
          <w:lang w:val="en-US"/>
        </w:rPr>
        <w:t>[</w:t>
      </w:r>
      <w:r w:rsidR="00E22D06">
        <w:rPr>
          <w:rFonts w:asciiTheme="minorHAnsi" w:hAnsiTheme="minorHAnsi"/>
          <w:b/>
          <w:lang w:val="en-US"/>
        </w:rPr>
        <w:t>I</w:t>
      </w:r>
      <w:r w:rsidRPr="00B004E3">
        <w:rPr>
          <w:rFonts w:asciiTheme="minorHAnsi" w:hAnsiTheme="minorHAnsi"/>
          <w:b/>
          <w:lang w:val="en-US"/>
        </w:rPr>
        <w:t xml:space="preserve">] </w:t>
      </w:r>
      <w:r>
        <w:rPr>
          <w:rFonts w:asciiTheme="minorHAnsi" w:hAnsiTheme="minorHAnsi"/>
          <w:b/>
          <w:lang w:val="en-US"/>
        </w:rPr>
        <w:t xml:space="preserve">Double Blind </w:t>
      </w:r>
      <w:r w:rsidRPr="00B004E3">
        <w:rPr>
          <w:rFonts w:asciiTheme="minorHAnsi" w:hAnsiTheme="minorHAnsi"/>
          <w:b/>
          <w:lang w:val="en-US"/>
        </w:rPr>
        <w:t>Review Process</w:t>
      </w:r>
    </w:p>
    <w:p w14:paraId="39E29A76" w14:textId="77777777" w:rsidR="00C311B3" w:rsidRDefault="00C311B3" w:rsidP="00C311B3">
      <w:pPr>
        <w:pStyle w:val="NoSpacing"/>
        <w:jc w:val="both"/>
        <w:rPr>
          <w:rFonts w:asciiTheme="minorHAnsi" w:hAnsiTheme="minorHAnsi"/>
          <w:lang w:val="en-US"/>
        </w:rPr>
      </w:pPr>
    </w:p>
    <w:p w14:paraId="454C6A86" w14:textId="4E5AC1E7" w:rsidR="00C311B3" w:rsidRDefault="00113489" w:rsidP="00113489">
      <w:pPr>
        <w:pStyle w:val="NoSpacing"/>
        <w:jc w:val="both"/>
        <w:rPr>
          <w:rFonts w:asciiTheme="minorHAnsi" w:hAnsiTheme="minorHAnsi"/>
          <w:lang w:val="en-US"/>
        </w:rPr>
      </w:pPr>
      <w:r>
        <w:rPr>
          <w:rFonts w:asciiTheme="minorHAnsi" w:hAnsiTheme="minorHAnsi"/>
          <w:lang w:val="en-US"/>
        </w:rPr>
        <w:t>Upon request, t</w:t>
      </w:r>
      <w:r w:rsidR="00C311B3" w:rsidRPr="00943EDE">
        <w:rPr>
          <w:rFonts w:asciiTheme="minorHAnsi" w:hAnsiTheme="minorHAnsi"/>
          <w:lang w:val="en-US"/>
        </w:rPr>
        <w:t xml:space="preserve">he journal provides </w:t>
      </w:r>
      <w:r>
        <w:rPr>
          <w:rFonts w:asciiTheme="minorHAnsi" w:hAnsiTheme="minorHAnsi"/>
          <w:lang w:val="en-US"/>
        </w:rPr>
        <w:t xml:space="preserve">for </w:t>
      </w:r>
      <w:r w:rsidR="00C311B3" w:rsidRPr="00943EDE">
        <w:rPr>
          <w:rFonts w:asciiTheme="minorHAnsi" w:hAnsiTheme="minorHAnsi"/>
          <w:lang w:val="en-US"/>
        </w:rPr>
        <w:t xml:space="preserve">a process of double blind peer review </w:t>
      </w:r>
      <w:r>
        <w:rPr>
          <w:rFonts w:asciiTheme="minorHAnsi" w:hAnsiTheme="minorHAnsi"/>
          <w:lang w:val="en-US"/>
        </w:rPr>
        <w:t xml:space="preserve">of </w:t>
      </w:r>
      <w:r w:rsidR="00C311B3" w:rsidRPr="00943EDE">
        <w:rPr>
          <w:rFonts w:asciiTheme="minorHAnsi" w:hAnsiTheme="minorHAnsi"/>
          <w:lang w:val="en-US"/>
        </w:rPr>
        <w:t>articles. At the author’s request or at</w:t>
      </w:r>
      <w:r w:rsidR="00C311B3">
        <w:rPr>
          <w:rFonts w:asciiTheme="minorHAnsi" w:hAnsiTheme="minorHAnsi"/>
          <w:lang w:val="en-US"/>
        </w:rPr>
        <w:t xml:space="preserve"> </w:t>
      </w:r>
      <w:r w:rsidR="00C311B3" w:rsidRPr="00943EDE">
        <w:rPr>
          <w:rFonts w:asciiTheme="minorHAnsi" w:hAnsiTheme="minorHAnsi"/>
          <w:lang w:val="en-US"/>
        </w:rPr>
        <w:t xml:space="preserve">request of the editorial board and with consent of the author, articles will be </w:t>
      </w:r>
      <w:r w:rsidR="0076312C">
        <w:rPr>
          <w:rFonts w:asciiTheme="minorHAnsi" w:hAnsiTheme="minorHAnsi"/>
          <w:lang w:val="en-US"/>
        </w:rPr>
        <w:t xml:space="preserve">double blind </w:t>
      </w:r>
      <w:r w:rsidR="00C311B3" w:rsidRPr="00943EDE">
        <w:rPr>
          <w:rFonts w:asciiTheme="minorHAnsi" w:hAnsiTheme="minorHAnsi"/>
          <w:lang w:val="en-US"/>
        </w:rPr>
        <w:t>peer reviewed.</w:t>
      </w:r>
      <w:r w:rsidR="00C311B3">
        <w:rPr>
          <w:rFonts w:asciiTheme="minorHAnsi" w:hAnsiTheme="minorHAnsi"/>
          <w:lang w:val="en-US"/>
        </w:rPr>
        <w:t xml:space="preserve"> </w:t>
      </w:r>
      <w:r w:rsidR="00E22D06">
        <w:rPr>
          <w:rFonts w:asciiTheme="minorHAnsi" w:hAnsiTheme="minorHAnsi"/>
          <w:lang w:val="en-US"/>
        </w:rPr>
        <w:t>T</w:t>
      </w:r>
      <w:r w:rsidR="00E22D06" w:rsidRPr="00E22D06">
        <w:rPr>
          <w:rFonts w:asciiTheme="minorHAnsi" w:hAnsiTheme="minorHAnsi"/>
          <w:lang w:val="en-US"/>
        </w:rPr>
        <w:t xml:space="preserve">he article will be assessed on the following criteria: problem description, method of </w:t>
      </w:r>
      <w:r w:rsidR="00E22D06" w:rsidRPr="00E22D06">
        <w:rPr>
          <w:rFonts w:asciiTheme="minorHAnsi" w:hAnsiTheme="minorHAnsi"/>
          <w:lang w:val="en-US"/>
        </w:rPr>
        <w:lastRenderedPageBreak/>
        <w:t xml:space="preserve">research, depth of analysis, originality, social relevance, and conclusions. </w:t>
      </w:r>
      <w:r w:rsidR="00C311B3" w:rsidRPr="00943EDE">
        <w:rPr>
          <w:rFonts w:asciiTheme="minorHAnsi" w:hAnsiTheme="minorHAnsi"/>
          <w:lang w:val="en-US"/>
        </w:rPr>
        <w:t xml:space="preserve">The </w:t>
      </w:r>
      <w:r w:rsidR="0076312C">
        <w:rPr>
          <w:rFonts w:asciiTheme="minorHAnsi" w:hAnsiTheme="minorHAnsi"/>
          <w:lang w:val="en-US"/>
        </w:rPr>
        <w:t xml:space="preserve">double blind </w:t>
      </w:r>
      <w:r w:rsidR="00C311B3" w:rsidRPr="00943EDE">
        <w:rPr>
          <w:rFonts w:asciiTheme="minorHAnsi" w:hAnsiTheme="minorHAnsi"/>
          <w:lang w:val="en-US"/>
        </w:rPr>
        <w:t xml:space="preserve">peer review form can be found </w:t>
      </w:r>
      <w:hyperlink r:id="rId10" w:history="1">
        <w:r w:rsidRPr="00113489">
          <w:rPr>
            <w:rStyle w:val="Hyperlink"/>
            <w:rFonts w:asciiTheme="minorHAnsi" w:hAnsiTheme="minorHAnsi"/>
            <w:lang w:val="en-US"/>
          </w:rPr>
          <w:t>here</w:t>
        </w:r>
      </w:hyperlink>
      <w:r>
        <w:rPr>
          <w:rFonts w:asciiTheme="minorHAnsi" w:hAnsiTheme="minorHAnsi"/>
          <w:lang w:val="en-US"/>
        </w:rPr>
        <w:t>.</w:t>
      </w:r>
    </w:p>
    <w:p w14:paraId="1F9F5F5D" w14:textId="77777777" w:rsidR="00C37286" w:rsidRDefault="00C37286" w:rsidP="00C311B3">
      <w:pPr>
        <w:pStyle w:val="NoSpacing"/>
        <w:jc w:val="both"/>
        <w:rPr>
          <w:rFonts w:asciiTheme="minorHAnsi" w:hAnsiTheme="minorHAnsi"/>
          <w:b/>
          <w:lang w:val="en-US"/>
        </w:rPr>
      </w:pPr>
    </w:p>
    <w:p w14:paraId="418F7C1C" w14:textId="77777777" w:rsidR="005012E2" w:rsidRDefault="005012E2" w:rsidP="00C311B3">
      <w:pPr>
        <w:pStyle w:val="NoSpacing"/>
        <w:jc w:val="both"/>
        <w:rPr>
          <w:rFonts w:asciiTheme="minorHAnsi" w:hAnsiTheme="minorHAnsi"/>
          <w:b/>
          <w:lang w:val="en-US"/>
        </w:rPr>
      </w:pPr>
    </w:p>
    <w:p w14:paraId="47545D56" w14:textId="1253ABAD" w:rsidR="00C311B3" w:rsidRDefault="00C311B3" w:rsidP="00C311B3">
      <w:pPr>
        <w:pStyle w:val="NoSpacing"/>
        <w:jc w:val="both"/>
        <w:rPr>
          <w:rFonts w:asciiTheme="minorHAnsi" w:hAnsiTheme="minorHAnsi"/>
          <w:b/>
          <w:lang w:val="en-US"/>
        </w:rPr>
      </w:pPr>
      <w:r>
        <w:rPr>
          <w:rFonts w:asciiTheme="minorHAnsi" w:hAnsiTheme="minorHAnsi"/>
          <w:b/>
          <w:lang w:val="en-US"/>
        </w:rPr>
        <w:t>[</w:t>
      </w:r>
      <w:r w:rsidR="00E22D06">
        <w:rPr>
          <w:rFonts w:asciiTheme="minorHAnsi" w:hAnsiTheme="minorHAnsi"/>
          <w:b/>
          <w:lang w:val="en-US"/>
        </w:rPr>
        <w:t>J</w:t>
      </w:r>
      <w:r w:rsidRPr="00B004E3">
        <w:rPr>
          <w:rFonts w:asciiTheme="minorHAnsi" w:hAnsiTheme="minorHAnsi"/>
          <w:b/>
          <w:lang w:val="en-US"/>
        </w:rPr>
        <w:t>] Copyright</w:t>
      </w:r>
    </w:p>
    <w:p w14:paraId="4E122E39" w14:textId="77777777" w:rsidR="00F9168C" w:rsidRPr="00B004E3" w:rsidRDefault="00F9168C" w:rsidP="00C311B3">
      <w:pPr>
        <w:pStyle w:val="NoSpacing"/>
        <w:jc w:val="both"/>
        <w:rPr>
          <w:rFonts w:asciiTheme="minorHAnsi" w:hAnsiTheme="minorHAnsi"/>
          <w:b/>
          <w:lang w:val="en-US"/>
        </w:rPr>
      </w:pPr>
    </w:p>
    <w:p w14:paraId="750406C7" w14:textId="77777777" w:rsidR="001E6B7C" w:rsidRPr="001E6B7C" w:rsidRDefault="001E6B7C" w:rsidP="001E6B7C">
      <w:pPr>
        <w:numPr>
          <w:ilvl w:val="0"/>
          <w:numId w:val="15"/>
        </w:numPr>
        <w:rPr>
          <w:rFonts w:asciiTheme="minorHAnsi" w:eastAsia="Calibri" w:hAnsiTheme="minorHAnsi"/>
          <w:sz w:val="22"/>
          <w:szCs w:val="22"/>
          <w:lang w:val="en-GB"/>
        </w:rPr>
      </w:pPr>
      <w:r w:rsidRPr="001E6B7C">
        <w:rPr>
          <w:rFonts w:asciiTheme="minorHAnsi" w:eastAsia="Calibri" w:hAnsiTheme="minorHAnsi"/>
          <w:sz w:val="22"/>
          <w:szCs w:val="22"/>
          <w:lang w:val="en-GB"/>
        </w:rPr>
        <w:t>Publication in the journal is subject to authors signing a ‘Consent to Publish and Grant of Exclusive Licence’ form. By signing this Form, authors warrant and represent that their contribution does not contain infringing, libellous, obscene or other unlawful matter.</w:t>
      </w:r>
    </w:p>
    <w:p w14:paraId="3684F28F" w14:textId="6756AEC1" w:rsidR="001E6B7C" w:rsidRPr="001E6B7C" w:rsidRDefault="001E6B7C" w:rsidP="001E6B7C">
      <w:pPr>
        <w:numPr>
          <w:ilvl w:val="0"/>
          <w:numId w:val="15"/>
        </w:numPr>
        <w:rPr>
          <w:rFonts w:asciiTheme="minorHAnsi" w:eastAsia="Calibri" w:hAnsiTheme="minorHAnsi"/>
          <w:sz w:val="22"/>
          <w:szCs w:val="22"/>
          <w:lang w:val="en-GB"/>
        </w:rPr>
      </w:pPr>
      <w:r w:rsidRPr="001E6B7C">
        <w:rPr>
          <w:rFonts w:asciiTheme="minorHAnsi" w:eastAsia="Calibri" w:hAnsiTheme="minorHAnsi"/>
          <w:sz w:val="22"/>
          <w:szCs w:val="22"/>
          <w:lang w:val="en-GB"/>
        </w:rPr>
        <w:t xml:space="preserve">Authors are allowed to post their articles on public websites such as SSRN subject to the conditions set in our </w:t>
      </w:r>
      <w:hyperlink r:id="rId11" w:anchor="rights-permissions" w:history="1">
        <w:r w:rsidRPr="001E6B7C">
          <w:rPr>
            <w:rStyle w:val="Hyperlink"/>
            <w:rFonts w:asciiTheme="minorHAnsi" w:eastAsia="Calibri" w:hAnsiTheme="minorHAnsi"/>
            <w:sz w:val="22"/>
            <w:szCs w:val="22"/>
            <w:lang w:val="en-GB"/>
          </w:rPr>
          <w:t>Rights &amp; Permissions Guide</w:t>
        </w:r>
      </w:hyperlink>
      <w:r w:rsidRPr="001E6B7C">
        <w:rPr>
          <w:rFonts w:asciiTheme="minorHAnsi" w:eastAsia="Calibri" w:hAnsiTheme="minorHAnsi"/>
          <w:sz w:val="22"/>
          <w:szCs w:val="22"/>
          <w:lang w:val="en-GB"/>
        </w:rPr>
        <w:t>. In this Guide you can also find which other rights remain reserved to the author.</w:t>
      </w:r>
    </w:p>
    <w:p w14:paraId="255A31F1" w14:textId="6E2E1A1A" w:rsidR="00D900D3" w:rsidRDefault="00D900D3" w:rsidP="00D900D3">
      <w:pPr>
        <w:pStyle w:val="NoSpacing"/>
        <w:numPr>
          <w:ilvl w:val="0"/>
          <w:numId w:val="15"/>
        </w:numPr>
        <w:jc w:val="both"/>
        <w:rPr>
          <w:rFonts w:asciiTheme="minorHAnsi" w:hAnsiTheme="minorHAnsi"/>
          <w:lang w:val="en-GB"/>
        </w:rPr>
      </w:pPr>
      <w:r w:rsidRPr="004F7F3A">
        <w:rPr>
          <w:rFonts w:asciiTheme="minorHAnsi" w:hAnsiTheme="minorHAnsi"/>
          <w:lang w:val="en-GB"/>
        </w:rPr>
        <w:t>The author shall receive for the rights granted a free copy of the issue of the journal in which the article is published, plus a PDF file of his/her article.</w:t>
      </w:r>
    </w:p>
    <w:p w14:paraId="103AA3CD" w14:textId="77777777" w:rsidR="00C311B3" w:rsidRDefault="00C311B3" w:rsidP="00C311B3"/>
    <w:p w14:paraId="34AA9A42" w14:textId="77777777" w:rsidR="00C311B3" w:rsidRDefault="00C311B3" w:rsidP="00C311B3"/>
    <w:p w14:paraId="0FECA4F4" w14:textId="6946F96A" w:rsidR="00C311B3" w:rsidRDefault="00C311B3" w:rsidP="00C311B3">
      <w:pPr>
        <w:pStyle w:val="NoSpacing"/>
        <w:jc w:val="both"/>
        <w:rPr>
          <w:rFonts w:asciiTheme="minorHAnsi" w:hAnsiTheme="minorHAnsi"/>
          <w:b/>
          <w:lang w:val="en-US"/>
        </w:rPr>
      </w:pPr>
      <w:r w:rsidRPr="00ED4D13">
        <w:rPr>
          <w:rFonts w:asciiTheme="minorHAnsi" w:hAnsiTheme="minorHAnsi"/>
          <w:b/>
          <w:lang w:val="en-US"/>
        </w:rPr>
        <w:t>[</w:t>
      </w:r>
      <w:r w:rsidR="00E22D06">
        <w:rPr>
          <w:rFonts w:asciiTheme="minorHAnsi" w:hAnsiTheme="minorHAnsi"/>
          <w:b/>
          <w:lang w:val="en-US"/>
        </w:rPr>
        <w:t>K</w:t>
      </w:r>
      <w:r w:rsidRPr="00ED4D13">
        <w:rPr>
          <w:rFonts w:asciiTheme="minorHAnsi" w:hAnsiTheme="minorHAnsi"/>
          <w:b/>
          <w:lang w:val="en-US"/>
        </w:rPr>
        <w:t xml:space="preserve">] </w:t>
      </w:r>
      <w:r>
        <w:rPr>
          <w:rFonts w:asciiTheme="minorHAnsi" w:hAnsiTheme="minorHAnsi"/>
          <w:b/>
          <w:lang w:val="en-US"/>
        </w:rPr>
        <w:t>Indexing &amp; abstracting databases</w:t>
      </w:r>
    </w:p>
    <w:p w14:paraId="2BBE5EB8" w14:textId="77777777" w:rsidR="00F9168C" w:rsidRPr="00ED4D13" w:rsidRDefault="00F9168C" w:rsidP="00C311B3">
      <w:pPr>
        <w:pStyle w:val="NoSpacing"/>
        <w:jc w:val="both"/>
        <w:rPr>
          <w:rFonts w:asciiTheme="minorHAnsi" w:hAnsiTheme="minorHAnsi"/>
          <w:b/>
          <w:lang w:val="en-US"/>
        </w:rPr>
      </w:pPr>
    </w:p>
    <w:p w14:paraId="66318547" w14:textId="77777777" w:rsidR="00C311B3" w:rsidRDefault="004A61A9" w:rsidP="00C311B3">
      <w:pPr>
        <w:pStyle w:val="NoSpacing"/>
        <w:numPr>
          <w:ilvl w:val="0"/>
          <w:numId w:val="7"/>
        </w:numPr>
        <w:jc w:val="both"/>
        <w:rPr>
          <w:rFonts w:asciiTheme="minorHAnsi" w:hAnsiTheme="minorHAnsi"/>
          <w:lang w:val="en-US"/>
        </w:rPr>
      </w:pPr>
      <w:r>
        <w:rPr>
          <w:rFonts w:asciiTheme="minorHAnsi" w:hAnsiTheme="minorHAnsi"/>
          <w:lang w:val="en-US"/>
        </w:rPr>
        <w:t>The journal is</w:t>
      </w:r>
      <w:r w:rsidR="00C311B3" w:rsidRPr="00DA14D6">
        <w:rPr>
          <w:rFonts w:asciiTheme="minorHAnsi" w:hAnsiTheme="minorHAnsi"/>
          <w:lang w:val="en-US"/>
        </w:rPr>
        <w:t xml:space="preserve"> index</w:t>
      </w:r>
      <w:r>
        <w:rPr>
          <w:rFonts w:asciiTheme="minorHAnsi" w:hAnsiTheme="minorHAnsi"/>
          <w:lang w:val="en-US"/>
        </w:rPr>
        <w:t>ed</w:t>
      </w:r>
      <w:r w:rsidR="00C311B3" w:rsidRPr="00DA14D6">
        <w:rPr>
          <w:rFonts w:asciiTheme="minorHAnsi" w:hAnsiTheme="minorHAnsi"/>
          <w:lang w:val="en-US"/>
        </w:rPr>
        <w:t xml:space="preserve"> in the Emerging Sources Citation Index (Web of Science)</w:t>
      </w:r>
    </w:p>
    <w:p w14:paraId="14D2F2D3" w14:textId="77777777" w:rsidR="001F7887" w:rsidRPr="00B82713" w:rsidRDefault="001F7887" w:rsidP="001F7887">
      <w:pPr>
        <w:pStyle w:val="ListParagraph"/>
        <w:numPr>
          <w:ilvl w:val="0"/>
          <w:numId w:val="7"/>
        </w:numPr>
        <w:rPr>
          <w:rFonts w:asciiTheme="minorHAnsi" w:eastAsia="Calibri" w:hAnsiTheme="minorHAnsi"/>
          <w:sz w:val="22"/>
          <w:szCs w:val="22"/>
        </w:rPr>
      </w:pPr>
      <w:r w:rsidRPr="00B82713">
        <w:rPr>
          <w:rFonts w:asciiTheme="minorHAnsi" w:hAnsiTheme="minorHAnsi"/>
          <w:sz w:val="22"/>
          <w:szCs w:val="22"/>
        </w:rPr>
        <w:t xml:space="preserve">The journal </w:t>
      </w:r>
      <w:r w:rsidR="004A61A9">
        <w:rPr>
          <w:rFonts w:asciiTheme="minorHAnsi" w:hAnsiTheme="minorHAnsi"/>
          <w:sz w:val="22"/>
          <w:szCs w:val="22"/>
        </w:rPr>
        <w:t>is indexed in t</w:t>
      </w:r>
      <w:r w:rsidRPr="00B82713">
        <w:rPr>
          <w:rFonts w:asciiTheme="minorHAnsi" w:eastAsia="Calibri" w:hAnsiTheme="minorHAnsi"/>
          <w:sz w:val="22"/>
          <w:szCs w:val="22"/>
        </w:rPr>
        <w:t>he Scopus database</w:t>
      </w:r>
    </w:p>
    <w:p w14:paraId="7BBA500E" w14:textId="77777777" w:rsidR="00C311B3" w:rsidRDefault="00C311B3" w:rsidP="00C311B3">
      <w:pPr>
        <w:pStyle w:val="NoSpacing"/>
        <w:jc w:val="both"/>
        <w:rPr>
          <w:rFonts w:asciiTheme="minorHAnsi" w:hAnsiTheme="minorHAnsi"/>
          <w:lang w:val="en-US"/>
        </w:rPr>
      </w:pPr>
    </w:p>
    <w:p w14:paraId="359E2D43" w14:textId="77777777" w:rsidR="001F7887" w:rsidRPr="00A34E18" w:rsidRDefault="001F7887" w:rsidP="00C311B3">
      <w:pPr>
        <w:pStyle w:val="NoSpacing"/>
        <w:jc w:val="both"/>
        <w:rPr>
          <w:rFonts w:asciiTheme="minorHAnsi" w:hAnsiTheme="minorHAnsi"/>
          <w:lang w:val="en-US"/>
        </w:rPr>
      </w:pPr>
    </w:p>
    <w:p w14:paraId="103B26B4" w14:textId="3D3DB87D" w:rsidR="00C311B3" w:rsidRDefault="00C311B3" w:rsidP="00C311B3">
      <w:pPr>
        <w:pStyle w:val="NoSpacing"/>
        <w:jc w:val="both"/>
        <w:rPr>
          <w:rFonts w:asciiTheme="minorHAnsi" w:hAnsiTheme="minorHAnsi"/>
          <w:b/>
          <w:lang w:val="en-US"/>
        </w:rPr>
      </w:pPr>
      <w:r w:rsidRPr="00ED4D13">
        <w:rPr>
          <w:rFonts w:asciiTheme="minorHAnsi" w:hAnsiTheme="minorHAnsi"/>
          <w:b/>
          <w:lang w:val="en-US"/>
        </w:rPr>
        <w:t>[</w:t>
      </w:r>
      <w:r w:rsidR="00E22D06">
        <w:rPr>
          <w:rFonts w:asciiTheme="minorHAnsi" w:hAnsiTheme="minorHAnsi"/>
          <w:b/>
          <w:lang w:val="en-US"/>
        </w:rPr>
        <w:t>L</w:t>
      </w:r>
      <w:r w:rsidRPr="00ED4D13">
        <w:rPr>
          <w:rFonts w:asciiTheme="minorHAnsi" w:hAnsiTheme="minorHAnsi"/>
          <w:b/>
          <w:lang w:val="en-US"/>
        </w:rPr>
        <w:t>] Publication Ethics and Malpractice Statement</w:t>
      </w:r>
    </w:p>
    <w:p w14:paraId="7C383236" w14:textId="77777777" w:rsidR="00F9168C" w:rsidRPr="00ED4D13" w:rsidRDefault="00F9168C" w:rsidP="00C311B3">
      <w:pPr>
        <w:pStyle w:val="NoSpacing"/>
        <w:jc w:val="both"/>
        <w:rPr>
          <w:rFonts w:asciiTheme="minorHAnsi" w:hAnsiTheme="minorHAnsi"/>
          <w:b/>
          <w:lang w:val="en-US"/>
        </w:rPr>
      </w:pPr>
    </w:p>
    <w:p w14:paraId="215074CB" w14:textId="6E351158" w:rsidR="00C311B3" w:rsidRPr="00ED4D13" w:rsidRDefault="00C311B3" w:rsidP="00F9168C">
      <w:pPr>
        <w:pStyle w:val="NoSpacing"/>
        <w:jc w:val="both"/>
        <w:rPr>
          <w:rFonts w:asciiTheme="minorHAnsi" w:hAnsiTheme="minorHAnsi"/>
          <w:lang w:val="en-US"/>
        </w:rPr>
      </w:pPr>
      <w:r w:rsidRPr="00ED4D13">
        <w:rPr>
          <w:rFonts w:asciiTheme="minorHAnsi" w:hAnsiTheme="minorHAnsi"/>
          <w:lang w:val="en-US"/>
        </w:rPr>
        <w:t xml:space="preserve">For more information on Wolters Kluwer’s commitment to protect and maintain the high standards for all our publications, please read our </w:t>
      </w:r>
      <w:hyperlink r:id="rId12" w:history="1">
        <w:r w:rsidRPr="00ED4D13">
          <w:rPr>
            <w:rStyle w:val="Hyperlink"/>
            <w:rFonts w:asciiTheme="minorHAnsi" w:hAnsiTheme="minorHAnsi"/>
            <w:lang w:val="en-US"/>
          </w:rPr>
          <w:t>Publication Ethics and Malpractice Statement</w:t>
        </w:r>
      </w:hyperlink>
      <w:r w:rsidRPr="00ED4D13">
        <w:rPr>
          <w:rFonts w:asciiTheme="minorHAnsi" w:hAnsiTheme="minorHAnsi"/>
          <w:lang w:val="en-US"/>
        </w:rPr>
        <w:t>.</w:t>
      </w:r>
    </w:p>
    <w:p w14:paraId="269D60AC" w14:textId="77777777" w:rsidR="00CB56E3" w:rsidRPr="004B0F7B" w:rsidRDefault="00CB56E3" w:rsidP="00C311B3">
      <w:pPr>
        <w:rPr>
          <w:sz w:val="22"/>
          <w:szCs w:val="22"/>
        </w:rPr>
      </w:pPr>
    </w:p>
    <w:sectPr w:rsidR="00CB56E3" w:rsidRPr="004B0F7B">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5CEC7" w14:textId="77777777" w:rsidR="00A85928" w:rsidRDefault="00A85928" w:rsidP="00CB56E3">
      <w:r>
        <w:separator/>
      </w:r>
    </w:p>
  </w:endnote>
  <w:endnote w:type="continuationSeparator" w:id="0">
    <w:p w14:paraId="2672E1B3" w14:textId="77777777" w:rsidR="00A85928" w:rsidRDefault="00A85928" w:rsidP="00CB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2A885" w14:textId="77777777" w:rsidR="00A85928" w:rsidRDefault="00A85928" w:rsidP="00CB56E3">
      <w:r>
        <w:separator/>
      </w:r>
    </w:p>
  </w:footnote>
  <w:footnote w:type="continuationSeparator" w:id="0">
    <w:p w14:paraId="5745B315" w14:textId="77777777" w:rsidR="00A85928" w:rsidRDefault="00A85928" w:rsidP="00CB5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B6DA" w14:textId="77777777" w:rsidR="00CB56E3" w:rsidRPr="00CB56E3" w:rsidRDefault="00CB56E3" w:rsidP="00CB56E3">
    <w:pPr>
      <w:pStyle w:val="Header"/>
      <w:jc w:val="center"/>
    </w:pPr>
    <w:r>
      <w:rPr>
        <w:rFonts w:asciiTheme="minorHAnsi" w:hAnsiTheme="minorHAnsi"/>
        <w:b/>
        <w:bCs/>
        <w:noProof/>
        <w:sz w:val="22"/>
        <w:szCs w:val="22"/>
        <w:lang w:val="en-GB" w:eastAsia="en-GB"/>
      </w:rPr>
      <w:drawing>
        <wp:inline distT="0" distB="0" distL="0" distR="0" wp14:anchorId="41B4E2E0" wp14:editId="53708DAE">
          <wp:extent cx="2318431" cy="657225"/>
          <wp:effectExtent l="0" t="0" r="5715" b="0"/>
          <wp:docPr id="1" name="Picture 1" descr="\\KLI-FSR-01\user$\Suzanne.Leppen\My Pictures\Logo Wolters Klu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I-FSR-01\user$\Suzanne.Leppen\My Pictures\Logo Wolters Kluw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4479" cy="6787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9C7"/>
    <w:multiLevelType w:val="hybridMultilevel"/>
    <w:tmpl w:val="986035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EF6927"/>
    <w:multiLevelType w:val="hybridMultilevel"/>
    <w:tmpl w:val="BC08FC56"/>
    <w:lvl w:ilvl="0" w:tplc="FA10FC0A">
      <w:start w:val="1"/>
      <w:numFmt w:val="decimal"/>
      <w:lvlText w:val="[%1]"/>
      <w:lvlJc w:val="left"/>
      <w:pPr>
        <w:ind w:left="432" w:hanging="43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77431D"/>
    <w:multiLevelType w:val="hybridMultilevel"/>
    <w:tmpl w:val="E286DD74"/>
    <w:lvl w:ilvl="0" w:tplc="FA10FC0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A84553"/>
    <w:multiLevelType w:val="hybridMultilevel"/>
    <w:tmpl w:val="BC08FC56"/>
    <w:lvl w:ilvl="0" w:tplc="FA10FC0A">
      <w:start w:val="1"/>
      <w:numFmt w:val="decimal"/>
      <w:lvlText w:val="[%1]"/>
      <w:lvlJc w:val="left"/>
      <w:pPr>
        <w:ind w:left="432" w:hanging="43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FA4635"/>
    <w:multiLevelType w:val="hybridMultilevel"/>
    <w:tmpl w:val="98603516"/>
    <w:lvl w:ilvl="0" w:tplc="FA10FC0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6166D3A"/>
    <w:multiLevelType w:val="hybridMultilevel"/>
    <w:tmpl w:val="BC08FC56"/>
    <w:lvl w:ilvl="0" w:tplc="FA10FC0A">
      <w:start w:val="1"/>
      <w:numFmt w:val="decimal"/>
      <w:lvlText w:val="[%1]"/>
      <w:lvlJc w:val="left"/>
      <w:pPr>
        <w:ind w:left="432" w:hanging="43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F675DC"/>
    <w:multiLevelType w:val="hybridMultilevel"/>
    <w:tmpl w:val="0E16AB32"/>
    <w:lvl w:ilvl="0" w:tplc="99A4B5D2">
      <w:start w:val="1"/>
      <w:numFmt w:val="none"/>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2437B4"/>
    <w:multiLevelType w:val="hybridMultilevel"/>
    <w:tmpl w:val="986035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9021A7"/>
    <w:multiLevelType w:val="hybridMultilevel"/>
    <w:tmpl w:val="802C9C16"/>
    <w:lvl w:ilvl="0" w:tplc="E7DA59DA">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E333B"/>
    <w:multiLevelType w:val="hybridMultilevel"/>
    <w:tmpl w:val="BC08FC56"/>
    <w:lvl w:ilvl="0" w:tplc="FA10FC0A">
      <w:start w:val="1"/>
      <w:numFmt w:val="decimal"/>
      <w:lvlText w:val="[%1]"/>
      <w:lvlJc w:val="left"/>
      <w:pPr>
        <w:ind w:left="432" w:hanging="43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AF7F16"/>
    <w:multiLevelType w:val="multilevel"/>
    <w:tmpl w:val="67B2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7F323B"/>
    <w:multiLevelType w:val="hybridMultilevel"/>
    <w:tmpl w:val="727A2FE2"/>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081531"/>
    <w:multiLevelType w:val="hybridMultilevel"/>
    <w:tmpl w:val="45183078"/>
    <w:lvl w:ilvl="0" w:tplc="3C64153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25AE2"/>
    <w:multiLevelType w:val="hybridMultilevel"/>
    <w:tmpl w:val="BC08FC56"/>
    <w:lvl w:ilvl="0" w:tplc="FA10FC0A">
      <w:start w:val="1"/>
      <w:numFmt w:val="decimal"/>
      <w:lvlText w:val="[%1]"/>
      <w:lvlJc w:val="left"/>
      <w:pPr>
        <w:ind w:left="432" w:hanging="43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DC2FF7"/>
    <w:multiLevelType w:val="hybridMultilevel"/>
    <w:tmpl w:val="99B8A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1F565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F4900"/>
    <w:multiLevelType w:val="hybridMultilevel"/>
    <w:tmpl w:val="986035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8BE7274"/>
    <w:multiLevelType w:val="hybridMultilevel"/>
    <w:tmpl w:val="4E740BFE"/>
    <w:lvl w:ilvl="0" w:tplc="0413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772DCB"/>
    <w:multiLevelType w:val="hybridMultilevel"/>
    <w:tmpl w:val="41A257EE"/>
    <w:lvl w:ilvl="0" w:tplc="FA10FC0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FAA63FD"/>
    <w:multiLevelType w:val="hybridMultilevel"/>
    <w:tmpl w:val="BC08FC56"/>
    <w:lvl w:ilvl="0" w:tplc="FA10FC0A">
      <w:start w:val="1"/>
      <w:numFmt w:val="decimal"/>
      <w:lvlText w:val="[%1]"/>
      <w:lvlJc w:val="left"/>
      <w:pPr>
        <w:ind w:left="432" w:hanging="43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270968"/>
    <w:multiLevelType w:val="hybridMultilevel"/>
    <w:tmpl w:val="BC08FC56"/>
    <w:lvl w:ilvl="0" w:tplc="FA10FC0A">
      <w:start w:val="1"/>
      <w:numFmt w:val="decimal"/>
      <w:lvlText w:val="[%1]"/>
      <w:lvlJc w:val="left"/>
      <w:pPr>
        <w:ind w:left="432" w:hanging="43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22C6D3C"/>
    <w:multiLevelType w:val="hybridMultilevel"/>
    <w:tmpl w:val="24B21AAA"/>
    <w:lvl w:ilvl="0" w:tplc="59EAD44C">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221EF1"/>
    <w:multiLevelType w:val="hybridMultilevel"/>
    <w:tmpl w:val="BDE48B66"/>
    <w:lvl w:ilvl="0" w:tplc="FA10FC0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8343D31"/>
    <w:multiLevelType w:val="multilevel"/>
    <w:tmpl w:val="8B86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CD32C1"/>
    <w:multiLevelType w:val="hybridMultilevel"/>
    <w:tmpl w:val="BC08FC56"/>
    <w:lvl w:ilvl="0" w:tplc="FA10FC0A">
      <w:start w:val="1"/>
      <w:numFmt w:val="decimal"/>
      <w:lvlText w:val="[%1]"/>
      <w:lvlJc w:val="left"/>
      <w:pPr>
        <w:ind w:left="432" w:hanging="43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A7819F4"/>
    <w:multiLevelType w:val="hybridMultilevel"/>
    <w:tmpl w:val="BC08FC56"/>
    <w:lvl w:ilvl="0" w:tplc="FA10FC0A">
      <w:start w:val="1"/>
      <w:numFmt w:val="decimal"/>
      <w:lvlText w:val="[%1]"/>
      <w:lvlJc w:val="left"/>
      <w:pPr>
        <w:ind w:left="432" w:hanging="43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8493632">
    <w:abstractNumId w:val="14"/>
  </w:num>
  <w:num w:numId="2" w16cid:durableId="1026250527">
    <w:abstractNumId w:val="21"/>
  </w:num>
  <w:num w:numId="3" w16cid:durableId="1288854197">
    <w:abstractNumId w:val="13"/>
  </w:num>
  <w:num w:numId="4" w16cid:durableId="943730455">
    <w:abstractNumId w:val="9"/>
  </w:num>
  <w:num w:numId="5" w16cid:durableId="58019430">
    <w:abstractNumId w:val="3"/>
  </w:num>
  <w:num w:numId="6" w16cid:durableId="88622049">
    <w:abstractNumId w:val="20"/>
  </w:num>
  <w:num w:numId="7" w16cid:durableId="1940989812">
    <w:abstractNumId w:val="24"/>
  </w:num>
  <w:num w:numId="8" w16cid:durableId="1716155299">
    <w:abstractNumId w:val="25"/>
  </w:num>
  <w:num w:numId="9" w16cid:durableId="55671206">
    <w:abstractNumId w:val="1"/>
  </w:num>
  <w:num w:numId="10" w16cid:durableId="145246795">
    <w:abstractNumId w:val="19"/>
  </w:num>
  <w:num w:numId="11" w16cid:durableId="831068902">
    <w:abstractNumId w:val="5"/>
  </w:num>
  <w:num w:numId="12" w16cid:durableId="1328093570">
    <w:abstractNumId w:val="23"/>
  </w:num>
  <w:num w:numId="13" w16cid:durableId="801188812">
    <w:abstractNumId w:val="10"/>
  </w:num>
  <w:num w:numId="14" w16cid:durableId="404841817">
    <w:abstractNumId w:val="8"/>
  </w:num>
  <w:num w:numId="15" w16cid:durableId="324289704">
    <w:abstractNumId w:val="12"/>
  </w:num>
  <w:num w:numId="16" w16cid:durableId="1390306401">
    <w:abstractNumId w:val="15"/>
  </w:num>
  <w:num w:numId="17" w16cid:durableId="764182473">
    <w:abstractNumId w:val="22"/>
  </w:num>
  <w:num w:numId="18" w16cid:durableId="459149556">
    <w:abstractNumId w:val="4"/>
  </w:num>
  <w:num w:numId="19" w16cid:durableId="485782529">
    <w:abstractNumId w:val="17"/>
  </w:num>
  <w:num w:numId="20" w16cid:durableId="1667241914">
    <w:abstractNumId w:val="18"/>
  </w:num>
  <w:num w:numId="21" w16cid:durableId="1549608881">
    <w:abstractNumId w:val="2"/>
  </w:num>
  <w:num w:numId="22" w16cid:durableId="546139348">
    <w:abstractNumId w:val="6"/>
  </w:num>
  <w:num w:numId="23" w16cid:durableId="1555196891">
    <w:abstractNumId w:val="4"/>
    <w:lvlOverride w:ilvl="0">
      <w:lvl w:ilvl="0" w:tplc="FA10FC0A">
        <w:start w:val="1"/>
        <w:numFmt w:val="decimal"/>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24" w16cid:durableId="986322296">
    <w:abstractNumId w:val="7"/>
  </w:num>
  <w:num w:numId="25" w16cid:durableId="737097648">
    <w:abstractNumId w:val="7"/>
    <w:lvlOverride w:ilvl="0">
      <w:lvl w:ilvl="0" w:tplc="FFFFFFFF">
        <w:start w:val="1"/>
        <w:numFmt w:val="decimal"/>
        <w:lvlText w:val="[%1]"/>
        <w:lvlJc w:val="left"/>
        <w:pPr>
          <w:ind w:left="36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6" w16cid:durableId="700476486">
    <w:abstractNumId w:val="7"/>
    <w:lvlOverride w:ilvl="0">
      <w:lvl w:ilvl="0" w:tplc="FFFFFFFF">
        <w:start w:val="1"/>
        <w:numFmt w:val="decimal"/>
        <w:lvlText w:val="[%1]"/>
        <w:lvlJc w:val="left"/>
        <w:pPr>
          <w:ind w:left="36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7" w16cid:durableId="1042512831">
    <w:abstractNumId w:val="11"/>
  </w:num>
  <w:num w:numId="28" w16cid:durableId="1488790616">
    <w:abstractNumId w:val="16"/>
  </w:num>
  <w:num w:numId="29" w16cid:durableId="71639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E3"/>
    <w:rsid w:val="000246B1"/>
    <w:rsid w:val="00025072"/>
    <w:rsid w:val="00027A62"/>
    <w:rsid w:val="00066DDF"/>
    <w:rsid w:val="0006768A"/>
    <w:rsid w:val="00113489"/>
    <w:rsid w:val="001E6B7C"/>
    <w:rsid w:val="001F7887"/>
    <w:rsid w:val="00205CED"/>
    <w:rsid w:val="00231A24"/>
    <w:rsid w:val="00246B24"/>
    <w:rsid w:val="00277B11"/>
    <w:rsid w:val="00284D2D"/>
    <w:rsid w:val="002E6330"/>
    <w:rsid w:val="0039721E"/>
    <w:rsid w:val="003C606E"/>
    <w:rsid w:val="003E7303"/>
    <w:rsid w:val="00450C83"/>
    <w:rsid w:val="00471207"/>
    <w:rsid w:val="004A61A9"/>
    <w:rsid w:val="004B0F7B"/>
    <w:rsid w:val="004B179F"/>
    <w:rsid w:val="004E5086"/>
    <w:rsid w:val="005012E2"/>
    <w:rsid w:val="00517978"/>
    <w:rsid w:val="005D7FD1"/>
    <w:rsid w:val="005F36D3"/>
    <w:rsid w:val="00631E53"/>
    <w:rsid w:val="006A09D5"/>
    <w:rsid w:val="006A7FE6"/>
    <w:rsid w:val="00707198"/>
    <w:rsid w:val="00730A23"/>
    <w:rsid w:val="0076312C"/>
    <w:rsid w:val="00765475"/>
    <w:rsid w:val="007831B2"/>
    <w:rsid w:val="00855DE9"/>
    <w:rsid w:val="008656AE"/>
    <w:rsid w:val="00867417"/>
    <w:rsid w:val="008A40AA"/>
    <w:rsid w:val="008E3CA2"/>
    <w:rsid w:val="00926FC6"/>
    <w:rsid w:val="00937C54"/>
    <w:rsid w:val="0095107D"/>
    <w:rsid w:val="009C54A4"/>
    <w:rsid w:val="009D7F9A"/>
    <w:rsid w:val="00A275BB"/>
    <w:rsid w:val="00A65E53"/>
    <w:rsid w:val="00A85928"/>
    <w:rsid w:val="00B03B1C"/>
    <w:rsid w:val="00C311B3"/>
    <w:rsid w:val="00C37286"/>
    <w:rsid w:val="00C95FEC"/>
    <w:rsid w:val="00CA289A"/>
    <w:rsid w:val="00CB56E3"/>
    <w:rsid w:val="00CD3CEE"/>
    <w:rsid w:val="00D03BD0"/>
    <w:rsid w:val="00D70CBF"/>
    <w:rsid w:val="00D76952"/>
    <w:rsid w:val="00D900D3"/>
    <w:rsid w:val="00E22D06"/>
    <w:rsid w:val="00E46DD6"/>
    <w:rsid w:val="00E6167C"/>
    <w:rsid w:val="00EA3700"/>
    <w:rsid w:val="00F240EE"/>
    <w:rsid w:val="00F84747"/>
    <w:rsid w:val="00F9168C"/>
    <w:rsid w:val="00FA315E"/>
    <w:rsid w:val="00FB779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47DB5"/>
  <w15:chartTrackingRefBased/>
  <w15:docId w15:val="{82617C40-6397-4005-B77D-D4E37F3A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6E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B56E3"/>
    <w:rPr>
      <w:color w:val="0000FF"/>
      <w:u w:val="single"/>
    </w:rPr>
  </w:style>
  <w:style w:type="paragraph" w:styleId="NoSpacing">
    <w:name w:val="No Spacing"/>
    <w:uiPriority w:val="1"/>
    <w:qFormat/>
    <w:rsid w:val="00CB56E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B56E3"/>
    <w:pPr>
      <w:tabs>
        <w:tab w:val="center" w:pos="4536"/>
        <w:tab w:val="right" w:pos="9072"/>
      </w:tabs>
    </w:pPr>
  </w:style>
  <w:style w:type="character" w:customStyle="1" w:styleId="HeaderChar">
    <w:name w:val="Header Char"/>
    <w:basedOn w:val="DefaultParagraphFont"/>
    <w:link w:val="Header"/>
    <w:uiPriority w:val="99"/>
    <w:rsid w:val="00CB56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56E3"/>
    <w:pPr>
      <w:tabs>
        <w:tab w:val="center" w:pos="4536"/>
        <w:tab w:val="right" w:pos="9072"/>
      </w:tabs>
    </w:pPr>
  </w:style>
  <w:style w:type="character" w:customStyle="1" w:styleId="FooterChar">
    <w:name w:val="Footer Char"/>
    <w:basedOn w:val="DefaultParagraphFont"/>
    <w:link w:val="Footer"/>
    <w:uiPriority w:val="99"/>
    <w:rsid w:val="00CB56E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B56E3"/>
    <w:pPr>
      <w:ind w:left="720"/>
      <w:contextualSpacing/>
    </w:pPr>
  </w:style>
  <w:style w:type="paragraph" w:styleId="BalloonText">
    <w:name w:val="Balloon Text"/>
    <w:basedOn w:val="Normal"/>
    <w:link w:val="BalloonTextChar"/>
    <w:uiPriority w:val="99"/>
    <w:semiHidden/>
    <w:unhideWhenUsed/>
    <w:rsid w:val="00CB56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6E3"/>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471207"/>
    <w:rPr>
      <w:color w:val="954F72" w:themeColor="followedHyperlink"/>
      <w:u w:val="single"/>
    </w:rPr>
  </w:style>
  <w:style w:type="paragraph" w:styleId="Revision">
    <w:name w:val="Revision"/>
    <w:hidden/>
    <w:uiPriority w:val="99"/>
    <w:semiHidden/>
    <w:rsid w:val="00867417"/>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275BB"/>
    <w:rPr>
      <w:sz w:val="16"/>
      <w:szCs w:val="16"/>
    </w:rPr>
  </w:style>
  <w:style w:type="paragraph" w:styleId="CommentText">
    <w:name w:val="annotation text"/>
    <w:basedOn w:val="Normal"/>
    <w:link w:val="CommentTextChar"/>
    <w:uiPriority w:val="99"/>
    <w:unhideWhenUsed/>
    <w:rsid w:val="00A275BB"/>
    <w:pPr>
      <w:spacing w:after="160"/>
    </w:pPr>
    <w:rPr>
      <w:rFonts w:asciiTheme="minorHAnsi" w:eastAsiaTheme="minorHAnsi" w:hAnsiTheme="minorHAnsi" w:cstheme="minorBidi"/>
      <w:kern w:val="2"/>
      <w:sz w:val="20"/>
      <w:szCs w:val="20"/>
      <w:lang w:val="nl-NL"/>
      <w14:ligatures w14:val="standardContextual"/>
    </w:rPr>
  </w:style>
  <w:style w:type="character" w:customStyle="1" w:styleId="CommentTextChar">
    <w:name w:val="Comment Text Char"/>
    <w:basedOn w:val="DefaultParagraphFont"/>
    <w:link w:val="CommentText"/>
    <w:uiPriority w:val="99"/>
    <w:rsid w:val="00A275BB"/>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kiekebeld@nl.ey.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luwerlawonline.com/media/PublicationEthicsMalpracticeStatemen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lterskluwer.com/en/solutions/kluwerlawinternational/authors/for-our-autho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luwerlawonline.com/media/ECTax_PeerReviewForm.pdf" TargetMode="External"/><Relationship Id="rId4" Type="http://schemas.openxmlformats.org/officeDocument/2006/relationships/settings" Target="settings.xml"/><Relationship Id="rId9" Type="http://schemas.openxmlformats.org/officeDocument/2006/relationships/hyperlink" Target="https://www.wolterskluwer.com/en/solutions/kluwerlawinternational/authors/for-our-autho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3843-8BA0-4E2F-9E86-AB429AE7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1629</Words>
  <Characters>8964</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Wolters Kluwer</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Leppen, Suzanne</dc:creator>
  <cp:keywords/>
  <dc:description/>
  <cp:lastModifiedBy>Ben Kiekebeld</cp:lastModifiedBy>
  <cp:revision>2</cp:revision>
  <cp:lastPrinted>2024-02-08T10:35:00Z</cp:lastPrinted>
  <dcterms:created xsi:type="dcterms:W3CDTF">2024-07-02T08:32:00Z</dcterms:created>
  <dcterms:modified xsi:type="dcterms:W3CDTF">2024-07-02T08:32:00Z</dcterms:modified>
</cp:coreProperties>
</file>