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312AAF" w14:textId="77777777" w:rsidR="00672AC2" w:rsidRDefault="00672AC2" w:rsidP="00672AC2">
      <w:pPr>
        <w:jc w:val="center"/>
        <w:rPr>
          <w:rFonts w:ascii="Arial" w:hAnsi="Arial"/>
          <w:b/>
          <w:sz w:val="28"/>
        </w:rPr>
      </w:pPr>
    </w:p>
    <w:p w14:paraId="6F3A35F0" w14:textId="77777777" w:rsidR="00672AC2" w:rsidRDefault="00672AC2" w:rsidP="00672AC2">
      <w:pPr>
        <w:jc w:val="center"/>
        <w:rPr>
          <w:rFonts w:ascii="Arial" w:hAnsi="Arial"/>
          <w:b/>
          <w:sz w:val="28"/>
        </w:rPr>
      </w:pPr>
    </w:p>
    <w:p w14:paraId="1647E9FA" w14:textId="77777777" w:rsidR="00672AC2" w:rsidRDefault="00672AC2" w:rsidP="00672AC2">
      <w:pPr>
        <w:jc w:val="center"/>
        <w:rPr>
          <w:rFonts w:ascii="Arial" w:hAnsi="Arial"/>
          <w:b/>
          <w:sz w:val="28"/>
        </w:rPr>
      </w:pPr>
    </w:p>
    <w:p w14:paraId="17B4B218" w14:textId="273423A3" w:rsidR="00672AC2" w:rsidRPr="00D0570B" w:rsidRDefault="00672AC2" w:rsidP="00672AC2">
      <w:pPr>
        <w:jc w:val="center"/>
        <w:rPr>
          <w:rFonts w:ascii="Arial" w:hAnsi="Arial" w:cs="Arial"/>
          <w:b/>
          <w:sz w:val="28"/>
        </w:rPr>
      </w:pPr>
      <w:proofErr w:type="spellStart"/>
      <w:r>
        <w:rPr>
          <w:rFonts w:ascii="Arial" w:hAnsi="Arial"/>
          <w:b/>
          <w:sz w:val="28"/>
        </w:rPr>
        <w:t>Review</w:t>
      </w:r>
      <w:proofErr w:type="spellEnd"/>
      <w:r>
        <w:rPr>
          <w:rFonts w:ascii="Arial" w:hAnsi="Arial"/>
          <w:b/>
          <w:sz w:val="28"/>
        </w:rPr>
        <w:t xml:space="preserve"> </w:t>
      </w:r>
      <w:proofErr w:type="spellStart"/>
      <w:r>
        <w:rPr>
          <w:rFonts w:ascii="Arial" w:hAnsi="Arial"/>
          <w:b/>
          <w:sz w:val="28"/>
        </w:rPr>
        <w:t>procedure</w:t>
      </w:r>
      <w:proofErr w:type="spellEnd"/>
      <w:r>
        <w:rPr>
          <w:rFonts w:ascii="Arial" w:hAnsi="Arial"/>
          <w:b/>
          <w:sz w:val="28"/>
        </w:rPr>
        <w:t xml:space="preserve"> of “</w:t>
      </w:r>
      <w:proofErr w:type="spellStart"/>
      <w:r>
        <w:rPr>
          <w:rFonts w:ascii="Arial" w:hAnsi="Arial"/>
          <w:b/>
          <w:sz w:val="28"/>
        </w:rPr>
        <w:t>Judicial</w:t>
      </w:r>
      <w:proofErr w:type="spellEnd"/>
      <w:r>
        <w:rPr>
          <w:rFonts w:ascii="Arial" w:hAnsi="Arial"/>
          <w:b/>
          <w:sz w:val="28"/>
        </w:rPr>
        <w:t xml:space="preserve"> </w:t>
      </w:r>
      <w:proofErr w:type="spellStart"/>
      <w:r>
        <w:rPr>
          <w:rFonts w:ascii="Arial" w:hAnsi="Arial"/>
          <w:b/>
          <w:sz w:val="28"/>
        </w:rPr>
        <w:t>Review</w:t>
      </w:r>
      <w:proofErr w:type="spellEnd"/>
      <w:r>
        <w:rPr>
          <w:rFonts w:ascii="Arial" w:hAnsi="Arial"/>
          <w:b/>
          <w:sz w:val="28"/>
        </w:rPr>
        <w:t>”</w:t>
      </w:r>
    </w:p>
    <w:p w14:paraId="0A2107CE" w14:textId="77777777" w:rsidR="00672AC2" w:rsidRPr="00D0570B" w:rsidRDefault="00672AC2" w:rsidP="00672AC2">
      <w:pPr>
        <w:pStyle w:val="Akapitzlist"/>
        <w:numPr>
          <w:ilvl w:val="0"/>
          <w:numId w:val="2"/>
        </w:numPr>
        <w:spacing w:after="200" w:line="276" w:lineRule="auto"/>
        <w:rPr>
          <w:rFonts w:ascii="Arial" w:hAnsi="Arial" w:cs="Arial"/>
        </w:rPr>
      </w:pPr>
      <w:proofErr w:type="spellStart"/>
      <w:r>
        <w:rPr>
          <w:rFonts w:ascii="Arial" w:hAnsi="Arial"/>
        </w:rPr>
        <w:t>All</w:t>
      </w:r>
      <w:proofErr w:type="spellEnd"/>
      <w:r>
        <w:rPr>
          <w:rFonts w:ascii="Arial" w:hAnsi="Arial"/>
        </w:rPr>
        <w:t xml:space="preserve"> the materials </w:t>
      </w:r>
      <w:proofErr w:type="spellStart"/>
      <w:r>
        <w:rPr>
          <w:rFonts w:ascii="Arial" w:hAnsi="Arial"/>
        </w:rPr>
        <w:t>submitted</w:t>
      </w:r>
      <w:proofErr w:type="spellEnd"/>
      <w:r>
        <w:rPr>
          <w:rFonts w:ascii="Arial" w:hAnsi="Arial"/>
        </w:rPr>
        <w:t xml:space="preserve"> to “</w:t>
      </w:r>
      <w:proofErr w:type="spellStart"/>
      <w:r>
        <w:rPr>
          <w:rFonts w:ascii="Arial" w:hAnsi="Arial"/>
        </w:rPr>
        <w:t>Judicial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Review</w:t>
      </w:r>
      <w:proofErr w:type="spellEnd"/>
      <w:r>
        <w:rPr>
          <w:rFonts w:ascii="Arial" w:hAnsi="Arial"/>
        </w:rPr>
        <w:t xml:space="preserve">” </w:t>
      </w:r>
      <w:proofErr w:type="spellStart"/>
      <w:r>
        <w:rPr>
          <w:rFonts w:ascii="Arial" w:hAnsi="Arial"/>
        </w:rPr>
        <w:t>are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first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editorially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evaluated</w:t>
      </w:r>
      <w:proofErr w:type="spellEnd"/>
      <w:r>
        <w:rPr>
          <w:rFonts w:ascii="Arial" w:hAnsi="Arial"/>
        </w:rPr>
        <w:t xml:space="preserve"> by the </w:t>
      </w:r>
      <w:proofErr w:type="spellStart"/>
      <w:r>
        <w:rPr>
          <w:rFonts w:ascii="Arial" w:hAnsi="Arial"/>
        </w:rPr>
        <w:t>members</w:t>
      </w:r>
      <w:proofErr w:type="spellEnd"/>
      <w:r>
        <w:rPr>
          <w:rFonts w:ascii="Arial" w:hAnsi="Arial"/>
        </w:rPr>
        <w:t xml:space="preserve"> of the </w:t>
      </w:r>
      <w:proofErr w:type="spellStart"/>
      <w:r>
        <w:rPr>
          <w:rFonts w:ascii="Arial" w:hAnsi="Arial"/>
        </w:rPr>
        <w:t>editorial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board</w:t>
      </w:r>
      <w:proofErr w:type="spellEnd"/>
      <w:r>
        <w:rPr>
          <w:rFonts w:ascii="Arial" w:hAnsi="Arial"/>
        </w:rPr>
        <w:t xml:space="preserve">. The </w:t>
      </w:r>
      <w:proofErr w:type="spellStart"/>
      <w:r>
        <w:rPr>
          <w:rFonts w:ascii="Arial" w:hAnsi="Arial"/>
        </w:rPr>
        <w:t>editorial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board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ask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people</w:t>
      </w:r>
      <w:proofErr w:type="spellEnd"/>
      <w:r>
        <w:rPr>
          <w:rFonts w:ascii="Arial" w:hAnsi="Arial"/>
        </w:rPr>
        <w:t xml:space="preserve"> from </w:t>
      </w:r>
      <w:proofErr w:type="spellStart"/>
      <w:r>
        <w:rPr>
          <w:rFonts w:ascii="Arial" w:hAnsi="Arial"/>
        </w:rPr>
        <w:t>outside</w:t>
      </w:r>
      <w:proofErr w:type="spellEnd"/>
      <w:r>
        <w:rPr>
          <w:rFonts w:ascii="Arial" w:hAnsi="Arial"/>
        </w:rPr>
        <w:t xml:space="preserve"> the </w:t>
      </w:r>
      <w:proofErr w:type="spellStart"/>
      <w:r>
        <w:rPr>
          <w:rFonts w:ascii="Arial" w:hAnsi="Arial"/>
        </w:rPr>
        <w:t>board</w:t>
      </w:r>
      <w:proofErr w:type="spellEnd"/>
      <w:r>
        <w:rPr>
          <w:rFonts w:ascii="Arial" w:hAnsi="Arial"/>
        </w:rPr>
        <w:t xml:space="preserve"> for </w:t>
      </w:r>
      <w:proofErr w:type="spellStart"/>
      <w:r>
        <w:rPr>
          <w:rFonts w:ascii="Arial" w:hAnsi="Arial"/>
        </w:rPr>
        <w:t>their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evaluation</w:t>
      </w:r>
      <w:proofErr w:type="spellEnd"/>
      <w:r>
        <w:rPr>
          <w:rFonts w:ascii="Arial" w:hAnsi="Arial"/>
        </w:rPr>
        <w:t>.</w:t>
      </w:r>
    </w:p>
    <w:p w14:paraId="30352F72" w14:textId="77777777" w:rsidR="00672AC2" w:rsidRPr="00D0570B" w:rsidRDefault="00672AC2" w:rsidP="00672AC2">
      <w:pPr>
        <w:pStyle w:val="Akapitzlist"/>
        <w:numPr>
          <w:ilvl w:val="0"/>
          <w:numId w:val="2"/>
        </w:numPr>
        <w:spacing w:after="200" w:line="276" w:lineRule="auto"/>
        <w:rPr>
          <w:rFonts w:ascii="Arial" w:hAnsi="Arial" w:cs="Arial"/>
        </w:rPr>
      </w:pPr>
      <w:proofErr w:type="spellStart"/>
      <w:r>
        <w:rPr>
          <w:rFonts w:ascii="Arial" w:hAnsi="Arial"/>
        </w:rPr>
        <w:t>Two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reviewers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appointed</w:t>
      </w:r>
      <w:proofErr w:type="spellEnd"/>
      <w:r>
        <w:rPr>
          <w:rFonts w:ascii="Arial" w:hAnsi="Arial"/>
        </w:rPr>
        <w:t xml:space="preserve"> to </w:t>
      </w:r>
      <w:proofErr w:type="spellStart"/>
      <w:r>
        <w:rPr>
          <w:rFonts w:ascii="Arial" w:hAnsi="Arial"/>
        </w:rPr>
        <w:t>evaluate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every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publication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that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</w:t>
      </w:r>
      <w:proofErr w:type="spellEnd"/>
      <w:r>
        <w:rPr>
          <w:rFonts w:ascii="Arial" w:hAnsi="Arial"/>
        </w:rPr>
        <w:t xml:space="preserve"> not a report </w:t>
      </w:r>
      <w:proofErr w:type="spellStart"/>
      <w:r>
        <w:rPr>
          <w:rFonts w:ascii="Arial" w:hAnsi="Arial"/>
        </w:rPr>
        <w:t>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review</w:t>
      </w:r>
      <w:proofErr w:type="spellEnd"/>
      <w:r>
        <w:rPr>
          <w:rFonts w:ascii="Arial" w:hAnsi="Arial"/>
        </w:rPr>
        <w:t xml:space="preserve"> of </w:t>
      </w:r>
      <w:proofErr w:type="spellStart"/>
      <w:r>
        <w:rPr>
          <w:rFonts w:ascii="Arial" w:hAnsi="Arial"/>
        </w:rPr>
        <w:t>another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publication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All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aspects</w:t>
      </w:r>
      <w:proofErr w:type="spellEnd"/>
      <w:r>
        <w:rPr>
          <w:rFonts w:ascii="Arial" w:hAnsi="Arial"/>
        </w:rPr>
        <w:t xml:space="preserve"> of the </w:t>
      </w:r>
      <w:proofErr w:type="spellStart"/>
      <w:r>
        <w:rPr>
          <w:rFonts w:ascii="Arial" w:hAnsi="Arial"/>
        </w:rPr>
        <w:t>academic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workshop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subject</w:t>
      </w:r>
      <w:proofErr w:type="spellEnd"/>
      <w:r>
        <w:rPr>
          <w:rFonts w:ascii="Arial" w:hAnsi="Arial"/>
        </w:rPr>
        <w:t xml:space="preserve"> to </w:t>
      </w:r>
      <w:proofErr w:type="spellStart"/>
      <w:r>
        <w:rPr>
          <w:rFonts w:ascii="Arial" w:hAnsi="Arial"/>
        </w:rPr>
        <w:t>evaluation</w:t>
      </w:r>
      <w:proofErr w:type="spellEnd"/>
      <w:r>
        <w:rPr>
          <w:rFonts w:ascii="Arial" w:hAnsi="Arial"/>
        </w:rPr>
        <w:t xml:space="preserve">. </w:t>
      </w:r>
    </w:p>
    <w:p w14:paraId="0369F871" w14:textId="77777777" w:rsidR="00672AC2" w:rsidRPr="00D0570B" w:rsidRDefault="00672AC2" w:rsidP="00672AC2">
      <w:pPr>
        <w:pStyle w:val="Akapitzlist"/>
        <w:numPr>
          <w:ilvl w:val="0"/>
          <w:numId w:val="2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/>
        </w:rPr>
        <w:t xml:space="preserve">The </w:t>
      </w:r>
      <w:proofErr w:type="spellStart"/>
      <w:r>
        <w:rPr>
          <w:rFonts w:ascii="Arial" w:hAnsi="Arial"/>
        </w:rPr>
        <w:t>review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prepared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writing</w:t>
      </w:r>
      <w:proofErr w:type="spellEnd"/>
      <w:r>
        <w:rPr>
          <w:rFonts w:ascii="Arial" w:hAnsi="Arial"/>
        </w:rPr>
        <w:t xml:space="preserve"> and </w:t>
      </w:r>
      <w:proofErr w:type="spellStart"/>
      <w:r>
        <w:rPr>
          <w:rFonts w:ascii="Arial" w:hAnsi="Arial"/>
        </w:rPr>
        <w:t>may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assume</w:t>
      </w:r>
      <w:proofErr w:type="spellEnd"/>
      <w:r>
        <w:rPr>
          <w:rFonts w:ascii="Arial" w:hAnsi="Arial"/>
        </w:rPr>
        <w:t xml:space="preserve"> the form of: </w:t>
      </w:r>
    </w:p>
    <w:p w14:paraId="136CBA3B" w14:textId="77777777" w:rsidR="00672AC2" w:rsidRPr="00D0570B" w:rsidRDefault="00672AC2" w:rsidP="00672AC2">
      <w:pPr>
        <w:pStyle w:val="Akapitzlist"/>
        <w:numPr>
          <w:ilvl w:val="1"/>
          <w:numId w:val="2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/>
        </w:rPr>
        <w:t xml:space="preserve">a </w:t>
      </w:r>
      <w:proofErr w:type="spellStart"/>
      <w:r>
        <w:rPr>
          <w:rFonts w:ascii="Arial" w:hAnsi="Arial"/>
        </w:rPr>
        <w:t>positive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review</w:t>
      </w:r>
      <w:proofErr w:type="spellEnd"/>
      <w:r>
        <w:rPr>
          <w:rFonts w:ascii="Arial" w:hAnsi="Arial"/>
        </w:rPr>
        <w:t>;</w:t>
      </w:r>
    </w:p>
    <w:p w14:paraId="4D311F3B" w14:textId="77777777" w:rsidR="00672AC2" w:rsidRPr="00D0570B" w:rsidRDefault="00672AC2" w:rsidP="00672AC2">
      <w:pPr>
        <w:pStyle w:val="Akapitzlist"/>
        <w:numPr>
          <w:ilvl w:val="1"/>
          <w:numId w:val="2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/>
        </w:rPr>
        <w:t xml:space="preserve">a </w:t>
      </w:r>
      <w:proofErr w:type="spellStart"/>
      <w:r>
        <w:rPr>
          <w:rFonts w:ascii="Arial" w:hAnsi="Arial"/>
        </w:rPr>
        <w:t>positive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review</w:t>
      </w:r>
      <w:proofErr w:type="spellEnd"/>
      <w:r>
        <w:rPr>
          <w:rFonts w:ascii="Arial" w:hAnsi="Arial"/>
        </w:rPr>
        <w:t xml:space="preserve"> on </w:t>
      </w:r>
      <w:proofErr w:type="spellStart"/>
      <w:r>
        <w:rPr>
          <w:rFonts w:ascii="Arial" w:hAnsi="Arial"/>
        </w:rPr>
        <w:t>condition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that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specified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changes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made</w:t>
      </w:r>
      <w:proofErr w:type="spellEnd"/>
      <w:r>
        <w:rPr>
          <w:rFonts w:ascii="Arial" w:hAnsi="Arial"/>
        </w:rPr>
        <w:t>;</w:t>
      </w:r>
    </w:p>
    <w:p w14:paraId="7088044E" w14:textId="77777777" w:rsidR="00672AC2" w:rsidRPr="00D0570B" w:rsidRDefault="00672AC2" w:rsidP="00672AC2">
      <w:pPr>
        <w:pStyle w:val="Akapitzlist"/>
        <w:numPr>
          <w:ilvl w:val="1"/>
          <w:numId w:val="2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/>
        </w:rPr>
        <w:t xml:space="preserve">a </w:t>
      </w:r>
      <w:proofErr w:type="spellStart"/>
      <w:r>
        <w:rPr>
          <w:rFonts w:ascii="Arial" w:hAnsi="Arial"/>
        </w:rPr>
        <w:t>negative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review</w:t>
      </w:r>
      <w:proofErr w:type="spellEnd"/>
      <w:r>
        <w:rPr>
          <w:rFonts w:ascii="Arial" w:hAnsi="Arial"/>
        </w:rPr>
        <w:t xml:space="preserve">. The </w:t>
      </w:r>
      <w:proofErr w:type="spellStart"/>
      <w:r>
        <w:rPr>
          <w:rFonts w:ascii="Arial" w:hAnsi="Arial"/>
        </w:rPr>
        <w:t>originals</w:t>
      </w:r>
      <w:proofErr w:type="spellEnd"/>
      <w:r>
        <w:rPr>
          <w:rFonts w:ascii="Arial" w:hAnsi="Arial"/>
        </w:rPr>
        <w:t xml:space="preserve"> of the </w:t>
      </w:r>
      <w:proofErr w:type="spellStart"/>
      <w:r>
        <w:rPr>
          <w:rFonts w:ascii="Arial" w:hAnsi="Arial"/>
        </w:rPr>
        <w:t>reviews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kept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at</w:t>
      </w:r>
      <w:proofErr w:type="spellEnd"/>
      <w:r>
        <w:rPr>
          <w:rFonts w:ascii="Arial" w:hAnsi="Arial"/>
        </w:rPr>
        <w:t xml:space="preserve"> the </w:t>
      </w:r>
      <w:proofErr w:type="spellStart"/>
      <w:r>
        <w:rPr>
          <w:rFonts w:ascii="Arial" w:hAnsi="Arial"/>
        </w:rPr>
        <w:t>editorial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office</w:t>
      </w:r>
      <w:proofErr w:type="spellEnd"/>
      <w:r>
        <w:rPr>
          <w:rFonts w:ascii="Arial" w:hAnsi="Arial"/>
        </w:rPr>
        <w:t xml:space="preserve"> of the “</w:t>
      </w:r>
      <w:proofErr w:type="spellStart"/>
      <w:r>
        <w:rPr>
          <w:rFonts w:ascii="Arial" w:hAnsi="Arial"/>
        </w:rPr>
        <w:t>Judicial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Review</w:t>
      </w:r>
      <w:proofErr w:type="spellEnd"/>
      <w:r>
        <w:rPr>
          <w:rFonts w:ascii="Arial" w:hAnsi="Arial"/>
        </w:rPr>
        <w:t>”.</w:t>
      </w:r>
    </w:p>
    <w:p w14:paraId="2D1A176D" w14:textId="77777777" w:rsidR="00672AC2" w:rsidRPr="00D0570B" w:rsidRDefault="00672AC2" w:rsidP="00672AC2">
      <w:pPr>
        <w:pStyle w:val="Akapitzlist"/>
        <w:numPr>
          <w:ilvl w:val="0"/>
          <w:numId w:val="2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/>
        </w:rPr>
        <w:t xml:space="preserve">The period for </w:t>
      </w:r>
      <w:proofErr w:type="spellStart"/>
      <w:r>
        <w:rPr>
          <w:rFonts w:ascii="Arial" w:hAnsi="Arial"/>
        </w:rPr>
        <w:t>waiting</w:t>
      </w:r>
      <w:proofErr w:type="spellEnd"/>
      <w:r>
        <w:rPr>
          <w:rFonts w:ascii="Arial" w:hAnsi="Arial"/>
        </w:rPr>
        <w:t xml:space="preserve"> for a </w:t>
      </w:r>
      <w:proofErr w:type="spellStart"/>
      <w:r>
        <w:rPr>
          <w:rFonts w:ascii="Arial" w:hAnsi="Arial"/>
        </w:rPr>
        <w:t>review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approximately</w:t>
      </w:r>
      <w:proofErr w:type="spellEnd"/>
      <w:r>
        <w:rPr>
          <w:rFonts w:ascii="Arial" w:hAnsi="Arial"/>
        </w:rPr>
        <w:t xml:space="preserve"> 4 </w:t>
      </w:r>
      <w:proofErr w:type="spellStart"/>
      <w:r>
        <w:rPr>
          <w:rFonts w:ascii="Arial" w:hAnsi="Arial"/>
        </w:rPr>
        <w:t>weeks</w:t>
      </w:r>
      <w:proofErr w:type="spellEnd"/>
      <w:r>
        <w:rPr>
          <w:rFonts w:ascii="Arial" w:hAnsi="Arial"/>
        </w:rPr>
        <w:t xml:space="preserve">. </w:t>
      </w:r>
    </w:p>
    <w:p w14:paraId="5D018A6F" w14:textId="77777777" w:rsidR="00672AC2" w:rsidRPr="00D0570B" w:rsidRDefault="00672AC2" w:rsidP="00672AC2">
      <w:pPr>
        <w:pStyle w:val="Akapitzlist"/>
        <w:numPr>
          <w:ilvl w:val="0"/>
          <w:numId w:val="2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/>
        </w:rPr>
        <w:t xml:space="preserve">The </w:t>
      </w:r>
      <w:proofErr w:type="spellStart"/>
      <w:r>
        <w:rPr>
          <w:rFonts w:ascii="Arial" w:hAnsi="Arial"/>
        </w:rPr>
        <w:t>identities</w:t>
      </w:r>
      <w:proofErr w:type="spellEnd"/>
      <w:r>
        <w:rPr>
          <w:rFonts w:ascii="Arial" w:hAnsi="Arial"/>
        </w:rPr>
        <w:t xml:space="preserve"> of the </w:t>
      </w:r>
      <w:proofErr w:type="spellStart"/>
      <w:r>
        <w:rPr>
          <w:rFonts w:ascii="Arial" w:hAnsi="Arial"/>
        </w:rPr>
        <w:t>reviewers</w:t>
      </w:r>
      <w:proofErr w:type="spellEnd"/>
      <w:r>
        <w:rPr>
          <w:rFonts w:ascii="Arial" w:hAnsi="Arial"/>
        </w:rPr>
        <w:t xml:space="preserve"> of the </w:t>
      </w:r>
      <w:proofErr w:type="spellStart"/>
      <w:r>
        <w:rPr>
          <w:rFonts w:ascii="Arial" w:hAnsi="Arial"/>
        </w:rPr>
        <w:t>individual</w:t>
      </w:r>
      <w:proofErr w:type="spellEnd"/>
      <w:r>
        <w:rPr>
          <w:rFonts w:ascii="Arial" w:hAnsi="Arial"/>
        </w:rPr>
        <w:t xml:space="preserve"> materials </w:t>
      </w:r>
      <w:proofErr w:type="spellStart"/>
      <w:r>
        <w:rPr>
          <w:rFonts w:ascii="Arial" w:hAnsi="Arial"/>
        </w:rPr>
        <w:t>are</w:t>
      </w:r>
      <w:proofErr w:type="spellEnd"/>
      <w:r>
        <w:rPr>
          <w:rFonts w:ascii="Arial" w:hAnsi="Arial"/>
        </w:rPr>
        <w:t xml:space="preserve"> not </w:t>
      </w:r>
      <w:proofErr w:type="spellStart"/>
      <w:r>
        <w:rPr>
          <w:rFonts w:ascii="Arial" w:hAnsi="Arial"/>
        </w:rPr>
        <w:t>disclosed</w:t>
      </w:r>
      <w:proofErr w:type="spellEnd"/>
      <w:r>
        <w:rPr>
          <w:rFonts w:ascii="Arial" w:hAnsi="Arial"/>
        </w:rPr>
        <w:t xml:space="preserve"> to the </w:t>
      </w:r>
      <w:proofErr w:type="spellStart"/>
      <w:r>
        <w:rPr>
          <w:rFonts w:ascii="Arial" w:hAnsi="Arial"/>
        </w:rPr>
        <w:t>authors</w:t>
      </w:r>
      <w:proofErr w:type="spellEnd"/>
      <w:r>
        <w:rPr>
          <w:rFonts w:ascii="Arial" w:hAnsi="Arial"/>
        </w:rPr>
        <w:t>.</w:t>
      </w:r>
    </w:p>
    <w:p w14:paraId="1F28BC5D" w14:textId="77777777" w:rsidR="00672AC2" w:rsidRPr="00D0570B" w:rsidRDefault="00672AC2" w:rsidP="00672AC2">
      <w:pPr>
        <w:pStyle w:val="Akapitzlist"/>
        <w:numPr>
          <w:ilvl w:val="0"/>
          <w:numId w:val="2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/>
        </w:rPr>
        <w:t xml:space="preserve">The list of </w:t>
      </w:r>
      <w:proofErr w:type="spellStart"/>
      <w:r>
        <w:rPr>
          <w:rFonts w:ascii="Arial" w:hAnsi="Arial"/>
        </w:rPr>
        <w:t>reviewers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working</w:t>
      </w:r>
      <w:proofErr w:type="spellEnd"/>
      <w:r>
        <w:rPr>
          <w:rFonts w:ascii="Arial" w:hAnsi="Arial"/>
        </w:rPr>
        <w:t xml:space="preserve"> with the </w:t>
      </w:r>
      <w:proofErr w:type="spellStart"/>
      <w:r>
        <w:rPr>
          <w:rFonts w:ascii="Arial" w:hAnsi="Arial"/>
        </w:rPr>
        <w:t>journal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without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identifying</w:t>
      </w:r>
      <w:proofErr w:type="spellEnd"/>
      <w:r>
        <w:rPr>
          <w:rFonts w:ascii="Arial" w:hAnsi="Arial"/>
        </w:rPr>
        <w:t xml:space="preserve"> the </w:t>
      </w:r>
      <w:proofErr w:type="spellStart"/>
      <w:r>
        <w:rPr>
          <w:rFonts w:ascii="Arial" w:hAnsi="Arial"/>
        </w:rPr>
        <w:t>reviewer</w:t>
      </w:r>
      <w:proofErr w:type="spellEnd"/>
      <w:r>
        <w:rPr>
          <w:rFonts w:ascii="Arial" w:hAnsi="Arial"/>
        </w:rPr>
        <w:t xml:space="preserve"> of the </w:t>
      </w:r>
      <w:proofErr w:type="spellStart"/>
      <w:r>
        <w:rPr>
          <w:rFonts w:ascii="Arial" w:hAnsi="Arial"/>
        </w:rPr>
        <w:t>given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publication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posted</w:t>
      </w:r>
      <w:proofErr w:type="spellEnd"/>
      <w:r>
        <w:rPr>
          <w:rFonts w:ascii="Arial" w:hAnsi="Arial"/>
        </w:rPr>
        <w:t xml:space="preserve"> in the “</w:t>
      </w:r>
      <w:proofErr w:type="spellStart"/>
      <w:r>
        <w:rPr>
          <w:rFonts w:ascii="Arial" w:hAnsi="Arial"/>
        </w:rPr>
        <w:t>Judicial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Review</w:t>
      </w:r>
      <w:proofErr w:type="spellEnd"/>
      <w:r>
        <w:rPr>
          <w:rFonts w:ascii="Arial" w:hAnsi="Arial"/>
        </w:rPr>
        <w:t xml:space="preserve">” </w:t>
      </w:r>
      <w:proofErr w:type="spellStart"/>
      <w:r>
        <w:rPr>
          <w:rFonts w:ascii="Arial" w:hAnsi="Arial"/>
        </w:rPr>
        <w:t>website</w:t>
      </w:r>
      <w:proofErr w:type="spellEnd"/>
      <w:r>
        <w:rPr>
          <w:rFonts w:ascii="Arial" w:hAnsi="Arial"/>
        </w:rPr>
        <w:t>.</w:t>
      </w:r>
    </w:p>
    <w:p w14:paraId="78CEEECF" w14:textId="77777777" w:rsidR="00672AC2" w:rsidRPr="00335082" w:rsidRDefault="00672AC2" w:rsidP="00672AC2">
      <w:pPr>
        <w:pStyle w:val="Akapitzlist"/>
        <w:numPr>
          <w:ilvl w:val="0"/>
          <w:numId w:val="2"/>
        </w:numPr>
        <w:spacing w:after="200" w:line="276" w:lineRule="auto"/>
        <w:rPr>
          <w:rFonts w:ascii="Arial" w:hAnsi="Arial" w:cs="Arial"/>
        </w:rPr>
      </w:pPr>
      <w:proofErr w:type="spellStart"/>
      <w:r>
        <w:rPr>
          <w:rFonts w:ascii="Arial" w:hAnsi="Arial"/>
        </w:rPr>
        <w:t>These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principles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drafted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accordance</w:t>
      </w:r>
      <w:proofErr w:type="spellEnd"/>
      <w:r>
        <w:rPr>
          <w:rFonts w:ascii="Arial" w:hAnsi="Arial"/>
        </w:rPr>
        <w:t xml:space="preserve"> with the </w:t>
      </w:r>
      <w:proofErr w:type="spellStart"/>
      <w:r>
        <w:rPr>
          <w:rFonts w:ascii="Arial" w:hAnsi="Arial"/>
        </w:rPr>
        <w:t>guidelines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published</w:t>
      </w:r>
      <w:proofErr w:type="spellEnd"/>
      <w:r>
        <w:rPr>
          <w:rFonts w:ascii="Arial" w:hAnsi="Arial"/>
        </w:rPr>
        <w:t xml:space="preserve"> by the Minister of Science and </w:t>
      </w:r>
      <w:proofErr w:type="spellStart"/>
      <w:r>
        <w:rPr>
          <w:rFonts w:ascii="Arial" w:hAnsi="Arial"/>
        </w:rPr>
        <w:t>Higher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Education</w:t>
      </w:r>
      <w:proofErr w:type="spellEnd"/>
      <w:r>
        <w:rPr>
          <w:rFonts w:ascii="Arial" w:hAnsi="Arial"/>
        </w:rPr>
        <w:t>.</w:t>
      </w:r>
    </w:p>
    <w:p w14:paraId="35AC6FCA" w14:textId="77777777" w:rsidR="00672AC2" w:rsidRDefault="00672AC2" w:rsidP="00672AC2">
      <w:pPr>
        <w:rPr>
          <w:rStyle w:val="Hipercze"/>
          <w:rFonts w:ascii="Arial" w:hAnsi="Arial" w:cs="Arial"/>
        </w:rPr>
      </w:pPr>
      <w:proofErr w:type="spellStart"/>
      <w:r w:rsidRPr="00A8134D">
        <w:rPr>
          <w:rFonts w:ascii="Arial" w:hAnsi="Arial" w:cs="Arial"/>
        </w:rPr>
        <w:t>See</w:t>
      </w:r>
      <w:proofErr w:type="spellEnd"/>
      <w:r w:rsidRPr="00A8134D">
        <w:rPr>
          <w:rFonts w:ascii="Arial" w:hAnsi="Arial" w:cs="Arial"/>
        </w:rPr>
        <w:t xml:space="preserve"> </w:t>
      </w:r>
      <w:proofErr w:type="spellStart"/>
      <w:r w:rsidRPr="00A8134D">
        <w:rPr>
          <w:rFonts w:ascii="Arial" w:hAnsi="Arial" w:cs="Arial"/>
        </w:rPr>
        <w:t>also</w:t>
      </w:r>
      <w:proofErr w:type="spellEnd"/>
      <w:r w:rsidRPr="00A8134D">
        <w:rPr>
          <w:rFonts w:ascii="Arial" w:hAnsi="Arial" w:cs="Arial"/>
        </w:rPr>
        <w:t xml:space="preserve">: </w:t>
      </w:r>
      <w:proofErr w:type="spellStart"/>
      <w:r w:rsidRPr="00A8134D">
        <w:rPr>
          <w:rFonts w:ascii="Arial" w:hAnsi="Arial" w:cs="Arial"/>
        </w:rPr>
        <w:t>Responsibilities</w:t>
      </w:r>
      <w:proofErr w:type="spellEnd"/>
      <w:r w:rsidRPr="00A8134D">
        <w:rPr>
          <w:rFonts w:ascii="Arial" w:hAnsi="Arial" w:cs="Arial"/>
        </w:rPr>
        <w:t xml:space="preserve"> of </w:t>
      </w:r>
      <w:proofErr w:type="spellStart"/>
      <w:r w:rsidRPr="00A8134D">
        <w:rPr>
          <w:rFonts w:ascii="Arial" w:hAnsi="Arial" w:cs="Arial"/>
        </w:rPr>
        <w:t>reviewers</w:t>
      </w:r>
      <w:proofErr w:type="spellEnd"/>
      <w:r w:rsidRPr="00A8134D">
        <w:rPr>
          <w:rFonts w:ascii="Arial" w:hAnsi="Arial" w:cs="Arial"/>
        </w:rPr>
        <w:t xml:space="preserve"> in </w:t>
      </w:r>
      <w:proofErr w:type="spellStart"/>
      <w:r w:rsidRPr="00A8134D">
        <w:rPr>
          <w:rFonts w:ascii="Arial" w:hAnsi="Arial" w:cs="Arial"/>
        </w:rPr>
        <w:t>Ethical</w:t>
      </w:r>
      <w:proofErr w:type="spellEnd"/>
      <w:r w:rsidRPr="00A8134D">
        <w:rPr>
          <w:rFonts w:ascii="Arial" w:hAnsi="Arial" w:cs="Arial"/>
        </w:rPr>
        <w:t xml:space="preserve"> </w:t>
      </w:r>
      <w:proofErr w:type="spellStart"/>
      <w:r w:rsidRPr="00A8134D">
        <w:rPr>
          <w:rFonts w:ascii="Arial" w:hAnsi="Arial" w:cs="Arial"/>
        </w:rPr>
        <w:t>principles</w:t>
      </w:r>
      <w:proofErr w:type="spellEnd"/>
      <w:r w:rsidRPr="00A8134D">
        <w:rPr>
          <w:rFonts w:ascii="Arial" w:hAnsi="Arial" w:cs="Arial"/>
        </w:rPr>
        <w:t xml:space="preserve"> </w:t>
      </w:r>
      <w:proofErr w:type="spellStart"/>
      <w:r w:rsidRPr="00A8134D">
        <w:rPr>
          <w:rFonts w:ascii="Arial" w:hAnsi="Arial" w:cs="Arial"/>
        </w:rPr>
        <w:t>concerning</w:t>
      </w:r>
      <w:proofErr w:type="spellEnd"/>
      <w:r w:rsidRPr="00A8134D">
        <w:rPr>
          <w:rFonts w:ascii="Arial" w:hAnsi="Arial" w:cs="Arial"/>
        </w:rPr>
        <w:t xml:space="preserve"> </w:t>
      </w:r>
      <w:proofErr w:type="spellStart"/>
      <w:r w:rsidRPr="00A8134D">
        <w:rPr>
          <w:rFonts w:ascii="Arial" w:hAnsi="Arial" w:cs="Arial"/>
        </w:rPr>
        <w:t>publications</w:t>
      </w:r>
      <w:proofErr w:type="spellEnd"/>
      <w:r w:rsidRPr="00A8134D">
        <w:rPr>
          <w:rFonts w:ascii="Arial" w:hAnsi="Arial" w:cs="Arial"/>
        </w:rPr>
        <w:t xml:space="preserve"> in </w:t>
      </w:r>
      <w:proofErr w:type="spellStart"/>
      <w:r w:rsidRPr="00A8134D">
        <w:rPr>
          <w:rFonts w:ascii="Arial" w:hAnsi="Arial" w:cs="Arial"/>
        </w:rPr>
        <w:t>academic</w:t>
      </w:r>
      <w:proofErr w:type="spellEnd"/>
      <w:r w:rsidRPr="00A8134D">
        <w:rPr>
          <w:rFonts w:ascii="Arial" w:hAnsi="Arial" w:cs="Arial"/>
        </w:rPr>
        <w:t xml:space="preserve"> </w:t>
      </w:r>
      <w:proofErr w:type="spellStart"/>
      <w:r w:rsidRPr="00A8134D">
        <w:rPr>
          <w:rFonts w:ascii="Arial" w:hAnsi="Arial" w:cs="Arial"/>
        </w:rPr>
        <w:t>journals</w:t>
      </w:r>
      <w:proofErr w:type="spellEnd"/>
      <w:r w:rsidRPr="00A8134D">
        <w:rPr>
          <w:rFonts w:ascii="Arial" w:hAnsi="Arial" w:cs="Arial"/>
        </w:rPr>
        <w:t xml:space="preserve">, </w:t>
      </w:r>
      <w:hyperlink r:id="rId11" w:history="1">
        <w:r w:rsidRPr="0081315C">
          <w:rPr>
            <w:rStyle w:val="Hipercze"/>
            <w:rFonts w:ascii="Arial" w:hAnsi="Arial" w:cs="Arial"/>
          </w:rPr>
          <w:t>https://www.wolterskluwer.com/pl-pl/solutions/czasopisma/ethical-principles</w:t>
        </w:r>
      </w:hyperlink>
    </w:p>
    <w:p w14:paraId="33496423" w14:textId="77777777" w:rsidR="00672AC2" w:rsidRDefault="00672AC2" w:rsidP="00672AC2">
      <w:pPr>
        <w:rPr>
          <w:rFonts w:ascii="Arial" w:hAnsi="Arial" w:cs="Arial"/>
        </w:rPr>
      </w:pPr>
    </w:p>
    <w:p w14:paraId="21935EB2" w14:textId="77777777" w:rsidR="00672AC2" w:rsidRPr="00335082" w:rsidRDefault="00672AC2" w:rsidP="00672AC2">
      <w:pPr>
        <w:rPr>
          <w:rFonts w:ascii="Arial" w:hAnsi="Arial" w:cs="Arial"/>
        </w:rPr>
      </w:pPr>
    </w:p>
    <w:p w14:paraId="08658626" w14:textId="77777777" w:rsidR="006817F7" w:rsidRPr="00672AC2" w:rsidRDefault="006817F7" w:rsidP="00672AC2"/>
    <w:sectPr w:rsidR="006817F7" w:rsidRPr="00672AC2" w:rsidSect="00E97786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1985" w:bottom="1418" w:left="1985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313BD1" w14:textId="77777777" w:rsidR="00273C5A" w:rsidRDefault="00273C5A" w:rsidP="0004294A">
      <w:r>
        <w:separator/>
      </w:r>
    </w:p>
  </w:endnote>
  <w:endnote w:type="continuationSeparator" w:id="0">
    <w:p w14:paraId="71AE844B" w14:textId="77777777" w:rsidR="00273C5A" w:rsidRDefault="00273C5A" w:rsidP="00042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645"/>
      <w:gridCol w:w="2645"/>
      <w:gridCol w:w="2645"/>
    </w:tblGrid>
    <w:tr w:rsidR="65ACDA09" w14:paraId="64B7390D" w14:textId="77777777" w:rsidTr="65ACDA09">
      <w:tc>
        <w:tcPr>
          <w:tcW w:w="2645" w:type="dxa"/>
        </w:tcPr>
        <w:p w14:paraId="1D9BA224" w14:textId="3ADE211F" w:rsidR="65ACDA09" w:rsidRDefault="65ACDA09" w:rsidP="65ACDA09">
          <w:pPr>
            <w:pStyle w:val="Nagwek"/>
            <w:ind w:left="-115"/>
          </w:pPr>
        </w:p>
      </w:tc>
      <w:tc>
        <w:tcPr>
          <w:tcW w:w="2645" w:type="dxa"/>
        </w:tcPr>
        <w:p w14:paraId="263E8837" w14:textId="262744C9" w:rsidR="65ACDA09" w:rsidRDefault="65ACDA09" w:rsidP="65ACDA09">
          <w:pPr>
            <w:pStyle w:val="Nagwek"/>
            <w:jc w:val="center"/>
          </w:pPr>
        </w:p>
      </w:tc>
      <w:tc>
        <w:tcPr>
          <w:tcW w:w="2645" w:type="dxa"/>
        </w:tcPr>
        <w:p w14:paraId="4A7CE0B6" w14:textId="6E290324" w:rsidR="65ACDA09" w:rsidRDefault="65ACDA09" w:rsidP="65ACDA09">
          <w:pPr>
            <w:pStyle w:val="Nagwek"/>
            <w:ind w:right="-115"/>
            <w:jc w:val="right"/>
          </w:pPr>
        </w:p>
      </w:tc>
    </w:tr>
  </w:tbl>
  <w:p w14:paraId="070F4EAA" w14:textId="0908871D" w:rsidR="65ACDA09" w:rsidRDefault="65ACDA09" w:rsidP="65ACDA0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-Siatka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567" w:type="dxa"/>
      </w:tblCellMar>
      <w:tblLook w:val="04A0" w:firstRow="1" w:lastRow="0" w:firstColumn="1" w:lastColumn="0" w:noHBand="0" w:noVBand="1"/>
    </w:tblPr>
    <w:tblGrid>
      <w:gridCol w:w="6804"/>
      <w:gridCol w:w="2920"/>
    </w:tblGrid>
    <w:tr w:rsidR="0004294A" w:rsidRPr="005A6B54" w14:paraId="0865863E" w14:textId="77777777" w:rsidTr="004640C6">
      <w:tc>
        <w:tcPr>
          <w:tcW w:w="6804" w:type="dxa"/>
          <w:vAlign w:val="bottom"/>
        </w:tcPr>
        <w:p w14:paraId="6A58F5A9" w14:textId="77777777" w:rsidR="00BD65A3" w:rsidRDefault="005F5B23" w:rsidP="0004294A">
          <w:pPr>
            <w:tabs>
              <w:tab w:val="left" w:pos="255"/>
              <w:tab w:val="left" w:pos="510"/>
            </w:tabs>
            <w:spacing w:line="199" w:lineRule="exact"/>
            <w:rPr>
              <w:rFonts w:ascii="Calibri" w:eastAsia="Calibri" w:hAnsi="Calibri"/>
              <w:sz w:val="14"/>
              <w:lang w:val="pl-PL"/>
            </w:rPr>
          </w:pPr>
          <w:r w:rsidRPr="005A6B54">
            <w:rPr>
              <w:rFonts w:ascii="Calibri" w:eastAsia="Calibri" w:hAnsi="Calibri"/>
              <w:sz w:val="14"/>
              <w:lang w:val="pl-PL"/>
            </w:rPr>
            <w:ptab w:relativeTo="margin" w:alignment="left" w:leader="none"/>
          </w:r>
          <w:r w:rsidRPr="005A6B54">
            <w:rPr>
              <w:rFonts w:ascii="Calibri" w:eastAsia="Calibri" w:hAnsi="Calibri"/>
              <w:sz w:val="14"/>
              <w:lang w:val="pl-PL"/>
            </w:rPr>
            <w:ptab w:relativeTo="margin" w:alignment="left" w:leader="none"/>
          </w:r>
          <w:r w:rsidR="0004294A" w:rsidRPr="005A6B54">
            <w:rPr>
              <w:rFonts w:ascii="Calibri" w:eastAsia="Calibri" w:hAnsi="Calibri"/>
              <w:sz w:val="14"/>
              <w:lang w:val="pl-PL"/>
            </w:rPr>
            <w:t xml:space="preserve">Wolters Kluwer </w:t>
          </w:r>
          <w:r w:rsidR="000E5ED6">
            <w:rPr>
              <w:rFonts w:ascii="Calibri" w:eastAsia="Calibri" w:hAnsi="Calibri"/>
              <w:sz w:val="14"/>
              <w:lang w:val="pl-PL"/>
            </w:rPr>
            <w:t xml:space="preserve">Polska </w:t>
          </w:r>
          <w:r w:rsidR="0004294A" w:rsidRPr="005A6B54">
            <w:rPr>
              <w:rFonts w:ascii="Calibri" w:eastAsia="Calibri" w:hAnsi="Calibri"/>
              <w:sz w:val="14"/>
              <w:lang w:val="pl-PL"/>
            </w:rPr>
            <w:t>S</w:t>
          </w:r>
          <w:r w:rsidR="00A269B7">
            <w:rPr>
              <w:rFonts w:ascii="Calibri" w:eastAsia="Calibri" w:hAnsi="Calibri"/>
              <w:sz w:val="14"/>
              <w:lang w:val="pl-PL"/>
            </w:rPr>
            <w:t>p. z o.o.</w:t>
          </w:r>
        </w:p>
        <w:p w14:paraId="08658636" w14:textId="01F68BAC" w:rsidR="0004294A" w:rsidRPr="005A6B54" w:rsidRDefault="0004294A" w:rsidP="0004294A">
          <w:pPr>
            <w:tabs>
              <w:tab w:val="left" w:pos="255"/>
              <w:tab w:val="left" w:pos="510"/>
            </w:tabs>
            <w:spacing w:line="199" w:lineRule="exact"/>
            <w:rPr>
              <w:rFonts w:ascii="Calibri" w:eastAsia="Calibri" w:hAnsi="Calibri"/>
              <w:sz w:val="14"/>
              <w:lang w:val="pl-PL"/>
            </w:rPr>
          </w:pPr>
          <w:r w:rsidRPr="005A6B54">
            <w:rPr>
              <w:rFonts w:ascii="Calibri" w:eastAsia="Calibri" w:hAnsi="Calibri"/>
              <w:sz w:val="14"/>
              <w:lang w:val="pl-PL"/>
            </w:rPr>
            <w:t>ul. Przyokopowa 33, 01-208 Warszawa, Polska</w:t>
          </w:r>
        </w:p>
        <w:p w14:paraId="08658637" w14:textId="25352B9E" w:rsidR="0004294A" w:rsidRPr="005A6B54" w:rsidRDefault="0004294A" w:rsidP="0004294A">
          <w:pPr>
            <w:tabs>
              <w:tab w:val="left" w:pos="255"/>
              <w:tab w:val="left" w:pos="510"/>
            </w:tabs>
            <w:spacing w:line="199" w:lineRule="exact"/>
            <w:rPr>
              <w:rFonts w:ascii="Calibri" w:eastAsia="Calibri" w:hAnsi="Calibri"/>
              <w:sz w:val="14"/>
              <w:lang w:val="pl-PL"/>
            </w:rPr>
          </w:pPr>
          <w:r w:rsidRPr="005A6B54">
            <w:rPr>
              <w:rFonts w:ascii="Calibri" w:eastAsia="Calibri" w:hAnsi="Calibri"/>
              <w:sz w:val="14"/>
              <w:lang w:val="pl-PL"/>
            </w:rPr>
            <w:t>wpisa</w:t>
          </w:r>
          <w:r w:rsidR="00A269B7">
            <w:rPr>
              <w:rFonts w:ascii="Calibri" w:eastAsia="Calibri" w:hAnsi="Calibri"/>
              <w:sz w:val="14"/>
              <w:lang w:val="pl-PL"/>
            </w:rPr>
            <w:t>na do KRS pod numerem KRS 709879</w:t>
          </w:r>
          <w:r w:rsidRPr="005A6B54">
            <w:rPr>
              <w:rFonts w:ascii="Calibri" w:eastAsia="Calibri" w:hAnsi="Calibri"/>
              <w:sz w:val="14"/>
              <w:lang w:val="pl-PL"/>
            </w:rPr>
            <w:t xml:space="preserve"> prowadzonego przez Sąd Rejonowy dla m. st. Warszawy </w:t>
          </w:r>
        </w:p>
        <w:p w14:paraId="08658639" w14:textId="7BE95F31" w:rsidR="0004294A" w:rsidRPr="005A6B54" w:rsidRDefault="003977FB" w:rsidP="00BD65A3">
          <w:pPr>
            <w:tabs>
              <w:tab w:val="left" w:pos="255"/>
              <w:tab w:val="left" w:pos="510"/>
            </w:tabs>
            <w:spacing w:line="199" w:lineRule="exact"/>
            <w:rPr>
              <w:rFonts w:ascii="Calibri" w:eastAsia="Calibri" w:hAnsi="Calibri"/>
              <w:sz w:val="14"/>
              <w:lang w:val="pl-PL"/>
            </w:rPr>
          </w:pPr>
          <w:r>
            <w:rPr>
              <w:rFonts w:ascii="Calibri" w:eastAsia="Calibri" w:hAnsi="Calibri"/>
              <w:sz w:val="14"/>
              <w:lang w:val="pl-PL"/>
            </w:rPr>
            <w:t>o kapitale zakładowym: 19.919.527</w:t>
          </w:r>
          <w:r w:rsidR="0004294A" w:rsidRPr="005A6B54">
            <w:rPr>
              <w:rFonts w:ascii="Calibri" w:eastAsia="Calibri" w:hAnsi="Calibri"/>
              <w:sz w:val="14"/>
              <w:lang w:val="pl-PL"/>
            </w:rPr>
            <w:t xml:space="preserve"> PLN, NIP: 583-001-89-31, Regon: 190610277</w:t>
          </w:r>
          <w:r w:rsidR="00642DB0">
            <w:rPr>
              <w:rFonts w:ascii="Calibri" w:eastAsia="Calibri" w:hAnsi="Calibri"/>
              <w:sz w:val="14"/>
              <w:lang w:val="pl-PL"/>
            </w:rPr>
            <w:t xml:space="preserve">, </w:t>
          </w:r>
          <w:r w:rsidR="00642DB0" w:rsidRPr="00642DB0">
            <w:rPr>
              <w:rFonts w:ascii="Calibri" w:eastAsia="Calibri" w:hAnsi="Calibri"/>
              <w:sz w:val="14"/>
              <w:lang w:val="pl-PL"/>
            </w:rPr>
            <w:t>nr rej. BDO: 000110936</w:t>
          </w:r>
        </w:p>
      </w:tc>
      <w:tc>
        <w:tcPr>
          <w:tcW w:w="2920" w:type="dxa"/>
          <w:vAlign w:val="bottom"/>
        </w:tcPr>
        <w:p w14:paraId="0865863A" w14:textId="77777777" w:rsidR="0004294A" w:rsidRPr="005A6B54" w:rsidRDefault="0004294A" w:rsidP="0004294A">
          <w:pPr>
            <w:tabs>
              <w:tab w:val="left" w:pos="255"/>
              <w:tab w:val="left" w:pos="510"/>
            </w:tabs>
            <w:spacing w:line="199" w:lineRule="exact"/>
            <w:rPr>
              <w:rFonts w:ascii="Calibri" w:eastAsia="Calibri" w:hAnsi="Calibri"/>
              <w:sz w:val="14"/>
              <w:lang w:val="pl-PL"/>
            </w:rPr>
          </w:pPr>
          <w:r w:rsidRPr="005A6B54">
            <w:rPr>
              <w:rFonts w:ascii="Calibri" w:eastAsia="Calibri" w:hAnsi="Calibri"/>
              <w:sz w:val="14"/>
              <w:lang w:val="pl-PL"/>
            </w:rPr>
            <w:t xml:space="preserve">Infolinia:  801 04 45 45 </w:t>
          </w:r>
        </w:p>
        <w:p w14:paraId="0865863B" w14:textId="77777777" w:rsidR="0004294A" w:rsidRPr="005A6B54" w:rsidRDefault="0004294A" w:rsidP="0004294A">
          <w:pPr>
            <w:tabs>
              <w:tab w:val="left" w:pos="255"/>
              <w:tab w:val="left" w:pos="510"/>
            </w:tabs>
            <w:spacing w:line="199" w:lineRule="exact"/>
            <w:rPr>
              <w:rFonts w:ascii="Calibri" w:eastAsia="Calibri" w:hAnsi="Calibri"/>
              <w:sz w:val="14"/>
              <w:lang w:val="pl-PL"/>
            </w:rPr>
          </w:pPr>
          <w:r w:rsidRPr="005A6B54">
            <w:rPr>
              <w:rFonts w:ascii="Calibri" w:eastAsia="Calibri" w:hAnsi="Calibri"/>
              <w:sz w:val="14"/>
              <w:lang w:val="pl-PL"/>
            </w:rPr>
            <w:t>fax    + 48 22 535 80 01</w:t>
          </w:r>
        </w:p>
        <w:p w14:paraId="0865863C" w14:textId="77777777" w:rsidR="0004294A" w:rsidRPr="005A6B54" w:rsidRDefault="00997010" w:rsidP="0004294A">
          <w:pPr>
            <w:tabs>
              <w:tab w:val="left" w:pos="255"/>
              <w:tab w:val="left" w:pos="510"/>
            </w:tabs>
            <w:spacing w:line="199" w:lineRule="exact"/>
            <w:rPr>
              <w:rFonts w:ascii="Calibri" w:eastAsia="Calibri" w:hAnsi="Calibri"/>
              <w:sz w:val="14"/>
              <w:lang w:val="pl-PL"/>
            </w:rPr>
          </w:pPr>
          <w:r>
            <w:rPr>
              <w:rFonts w:ascii="Calibri" w:eastAsia="Calibri" w:hAnsi="Calibri"/>
              <w:sz w:val="14"/>
              <w:lang w:val="pl-PL"/>
            </w:rPr>
            <w:t>PL-</w:t>
          </w:r>
          <w:r w:rsidR="0004294A" w:rsidRPr="005A6B54">
            <w:rPr>
              <w:rFonts w:ascii="Calibri" w:eastAsia="Calibri" w:hAnsi="Calibri"/>
              <w:sz w:val="14"/>
              <w:lang w:val="pl-PL"/>
            </w:rPr>
            <w:t>poczta@wolterskluwer.</w:t>
          </w:r>
          <w:r>
            <w:rPr>
              <w:rFonts w:ascii="Calibri" w:eastAsia="Calibri" w:hAnsi="Calibri"/>
              <w:sz w:val="14"/>
              <w:lang w:val="pl-PL"/>
            </w:rPr>
            <w:t>com</w:t>
          </w:r>
        </w:p>
        <w:p w14:paraId="0865863D" w14:textId="77777777" w:rsidR="0004294A" w:rsidRPr="005A6B54" w:rsidRDefault="0004294A" w:rsidP="0004294A">
          <w:pPr>
            <w:tabs>
              <w:tab w:val="left" w:pos="255"/>
              <w:tab w:val="left" w:pos="510"/>
            </w:tabs>
            <w:spacing w:line="199" w:lineRule="exact"/>
            <w:rPr>
              <w:rFonts w:ascii="Calibri" w:eastAsia="Calibri" w:hAnsi="Calibri"/>
              <w:sz w:val="14"/>
              <w:lang w:val="pl-PL"/>
            </w:rPr>
          </w:pPr>
          <w:r w:rsidRPr="005A6B54">
            <w:rPr>
              <w:rFonts w:ascii="Calibri" w:eastAsia="Calibri" w:hAnsi="Calibri"/>
              <w:sz w:val="14"/>
              <w:lang w:val="pl-PL"/>
            </w:rPr>
            <w:t>www.wolterskluwer.pl</w:t>
          </w:r>
        </w:p>
      </w:tc>
    </w:tr>
  </w:tbl>
  <w:p w14:paraId="0865863F" w14:textId="77777777" w:rsidR="0004294A" w:rsidRDefault="0004294A" w:rsidP="005F5B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9454CA" w14:textId="77777777" w:rsidR="00273C5A" w:rsidRDefault="00273C5A" w:rsidP="0004294A">
      <w:r>
        <w:separator/>
      </w:r>
    </w:p>
  </w:footnote>
  <w:footnote w:type="continuationSeparator" w:id="0">
    <w:p w14:paraId="7C647D7B" w14:textId="77777777" w:rsidR="00273C5A" w:rsidRDefault="00273C5A" w:rsidP="00042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65862D" w14:textId="77777777" w:rsidR="005F5B23" w:rsidRDefault="005F5B23">
    <w:pPr>
      <w:pStyle w:val="Nagwek"/>
    </w:pPr>
  </w:p>
  <w:p w14:paraId="0865862E" w14:textId="77777777" w:rsidR="005F5B23" w:rsidRDefault="005F5B23">
    <w:pPr>
      <w:pStyle w:val="Nagwek"/>
    </w:pPr>
  </w:p>
  <w:p w14:paraId="0865862F" w14:textId="77777777" w:rsidR="005F5B23" w:rsidRDefault="005F5B23">
    <w:pPr>
      <w:pStyle w:val="Nagwek"/>
    </w:pPr>
  </w:p>
  <w:p w14:paraId="08658630" w14:textId="77777777" w:rsidR="0004294A" w:rsidRDefault="0004294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658640" wp14:editId="08658641">
              <wp:simplePos x="0" y="0"/>
              <wp:positionH relativeFrom="page">
                <wp:posOffset>1244600</wp:posOffset>
              </wp:positionH>
              <wp:positionV relativeFrom="page">
                <wp:posOffset>641351</wp:posOffset>
              </wp:positionV>
              <wp:extent cx="1149350" cy="152400"/>
              <wp:effectExtent l="0" t="0" r="12700" b="0"/>
              <wp:wrapNone/>
              <wp:docPr id="2" name="Tekstva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152400"/>
                      </a:xfrm>
                      <a:prstGeom prst="rect">
                        <a:avLst/>
                      </a:prstGeom>
                      <a:noFill/>
                      <a:ln w="3175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a-Siatka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446"/>
                            <w:gridCol w:w="375"/>
                          </w:tblGrid>
                          <w:tr w:rsidR="0004294A" w14:paraId="0865864F" w14:textId="77777777" w:rsidTr="00B42A5A">
                            <w:tc>
                              <w:tcPr>
                                <w:tcW w:w="6804" w:type="dxa"/>
                              </w:tcPr>
                              <w:p w14:paraId="0865864D" w14:textId="77777777" w:rsidR="0004294A" w:rsidRPr="004454B3" w:rsidRDefault="0004294A" w:rsidP="004454B3">
                                <w:pPr>
                                  <w:pStyle w:val="Companyanddivisionname"/>
                                  <w:rPr>
                                    <w:rStyle w:val="ReferenceChar"/>
                                    <w:sz w:val="20"/>
                                  </w:rPr>
                                </w:pPr>
                                <w:r w:rsidRPr="004454B3">
                                  <w:rPr>
                                    <w:rStyle w:val="ReferenceChar"/>
                                    <w:sz w:val="20"/>
                                  </w:rPr>
                                  <w:t>Wolters Kluwer</w:t>
                                </w:r>
                              </w:p>
                            </w:tc>
                            <w:tc>
                              <w:tcPr>
                                <w:tcW w:w="2835" w:type="dxa"/>
                              </w:tcPr>
                              <w:p w14:paraId="0865864E" w14:textId="77777777" w:rsidR="0004294A" w:rsidRDefault="0004294A" w:rsidP="004454B3">
                                <w:pPr>
                                  <w:pStyle w:val="Companyanddivisionname"/>
                                </w:pPr>
                              </w:p>
                            </w:tc>
                          </w:tr>
                        </w:tbl>
                        <w:p w14:paraId="08658650" w14:textId="77777777" w:rsidR="0004294A" w:rsidRDefault="0004294A" w:rsidP="0004294A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658640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98pt;margin-top:50.5pt;width:90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" filled="f" stroked="f" strokeweight=".25pt">
              <v:textbox inset="0,0,0,0">
                <w:txbxContent>
                  <w:tbl>
                    <w:tblPr>
                      <w:tblStyle w:val="Tabela-Siatka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446"/>
                      <w:gridCol w:w="375"/>
                    </w:tblGrid>
                    <w:tr w:rsidR="0004294A" w14:paraId="0865864F" w14:textId="77777777" w:rsidTr="00B42A5A">
                      <w:tc>
                        <w:tcPr>
                          <w:tcW w:w="6804" w:type="dxa"/>
                        </w:tcPr>
                        <w:p w14:paraId="0865864D" w14:textId="77777777" w:rsidR="0004294A" w:rsidRPr="004454B3" w:rsidRDefault="0004294A" w:rsidP="004454B3">
                          <w:pPr>
                            <w:pStyle w:val="Companyanddivisionname"/>
                            <w:rPr>
                              <w:rStyle w:val="ReferenceChar"/>
                              <w:sz w:val="20"/>
                            </w:rPr>
                          </w:pPr>
                          <w:r w:rsidRPr="004454B3">
                            <w:rPr>
                              <w:rStyle w:val="ReferenceChar"/>
                              <w:sz w:val="20"/>
                            </w:rPr>
                            <w:t>Wolters Kluwer</w:t>
                          </w:r>
                        </w:p>
                      </w:tc>
                      <w:tc>
                        <w:tcPr>
                          <w:tcW w:w="2835" w:type="dxa"/>
                        </w:tcPr>
                        <w:p w14:paraId="0865864E" w14:textId="77777777" w:rsidR="0004294A" w:rsidRDefault="0004294A" w:rsidP="004454B3">
                          <w:pPr>
                            <w:pStyle w:val="Companyanddivisionname"/>
                          </w:pPr>
                        </w:p>
                      </w:tc>
                    </w:tr>
                  </w:tbl>
                  <w:p w14:paraId="08658650" w14:textId="77777777" w:rsidR="0004294A" w:rsidRDefault="0004294A" w:rsidP="0004294A"/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658631" w14:textId="77777777" w:rsidR="0004294A" w:rsidRDefault="0004294A">
    <w:pPr>
      <w:pStyle w:val="Nagwek"/>
    </w:pPr>
    <w:r>
      <w:rPr>
        <w:rFonts w:ascii="Times New Roman" w:hAnsi="Times New Roman" w:cs="Times New Roman"/>
        <w:noProof/>
        <w:spacing w:val="64"/>
        <w:position w:val="-10"/>
        <w:sz w:val="20"/>
        <w:szCs w:val="20"/>
        <w:lang w:eastAsia="pl-PL"/>
      </w:rPr>
      <w:drawing>
        <wp:anchor distT="0" distB="0" distL="114300" distR="114300" simplePos="0" relativeHeight="251661312" behindDoc="0" locked="0" layoutInCell="1" allowOverlap="1" wp14:anchorId="08658642" wp14:editId="08658643">
          <wp:simplePos x="0" y="0"/>
          <wp:positionH relativeFrom="column">
            <wp:posOffset>-410845</wp:posOffset>
          </wp:positionH>
          <wp:positionV relativeFrom="paragraph">
            <wp:posOffset>109220</wp:posOffset>
          </wp:positionV>
          <wp:extent cx="2197800" cy="590400"/>
          <wp:effectExtent l="0" t="0" r="0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K_H_01_Pos_RGB_2400_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800" cy="59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658632" w14:textId="77777777" w:rsidR="0004294A" w:rsidRDefault="0004294A">
    <w:pPr>
      <w:pStyle w:val="Nagwek"/>
    </w:pPr>
  </w:p>
  <w:p w14:paraId="08658633" w14:textId="77777777" w:rsidR="0004294A" w:rsidRDefault="0004294A">
    <w:pPr>
      <w:pStyle w:val="Nagwek"/>
    </w:pPr>
  </w:p>
  <w:p w14:paraId="08658634" w14:textId="77777777" w:rsidR="0004294A" w:rsidRDefault="0004294A">
    <w:pPr>
      <w:pStyle w:val="Nagwek"/>
    </w:pPr>
  </w:p>
  <w:p w14:paraId="08658635" w14:textId="77777777" w:rsidR="0004294A" w:rsidRDefault="000429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272958"/>
    <w:multiLevelType w:val="hybridMultilevel"/>
    <w:tmpl w:val="350A3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5220FE"/>
    <w:multiLevelType w:val="hybridMultilevel"/>
    <w:tmpl w:val="58B6BD94"/>
    <w:lvl w:ilvl="0" w:tplc="128625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94A"/>
    <w:rsid w:val="000151D2"/>
    <w:rsid w:val="00025B11"/>
    <w:rsid w:val="0004294A"/>
    <w:rsid w:val="000D7862"/>
    <w:rsid w:val="000E5ED6"/>
    <w:rsid w:val="002149B6"/>
    <w:rsid w:val="00273C5A"/>
    <w:rsid w:val="00316DDE"/>
    <w:rsid w:val="003312EA"/>
    <w:rsid w:val="00333FBD"/>
    <w:rsid w:val="003524C2"/>
    <w:rsid w:val="003977FB"/>
    <w:rsid w:val="0041222F"/>
    <w:rsid w:val="004D0FDB"/>
    <w:rsid w:val="005A6B54"/>
    <w:rsid w:val="005D4047"/>
    <w:rsid w:val="005F5B23"/>
    <w:rsid w:val="00642DB0"/>
    <w:rsid w:val="00672AC2"/>
    <w:rsid w:val="0067377C"/>
    <w:rsid w:val="006817F7"/>
    <w:rsid w:val="006F04C2"/>
    <w:rsid w:val="00742EF9"/>
    <w:rsid w:val="00893567"/>
    <w:rsid w:val="008B53C4"/>
    <w:rsid w:val="008E739D"/>
    <w:rsid w:val="00915D9A"/>
    <w:rsid w:val="00997010"/>
    <w:rsid w:val="00A035FC"/>
    <w:rsid w:val="00A1124F"/>
    <w:rsid w:val="00A269B7"/>
    <w:rsid w:val="00A548FB"/>
    <w:rsid w:val="00A8134D"/>
    <w:rsid w:val="00B303EA"/>
    <w:rsid w:val="00B31E3B"/>
    <w:rsid w:val="00B45297"/>
    <w:rsid w:val="00B63737"/>
    <w:rsid w:val="00BB72D2"/>
    <w:rsid w:val="00BD65A3"/>
    <w:rsid w:val="00DB5FAF"/>
    <w:rsid w:val="00E90293"/>
    <w:rsid w:val="00E97786"/>
    <w:rsid w:val="1EA3F4FB"/>
    <w:rsid w:val="65ACD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658615"/>
  <w15:docId w15:val="{E8AAD94D-1305-44FD-905B-4311C6298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5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DB5FA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294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4294A"/>
  </w:style>
  <w:style w:type="paragraph" w:styleId="Stopka">
    <w:name w:val="footer"/>
    <w:basedOn w:val="Normalny"/>
    <w:link w:val="StopkaZnak"/>
    <w:uiPriority w:val="99"/>
    <w:unhideWhenUsed/>
    <w:rsid w:val="0004294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4294A"/>
  </w:style>
  <w:style w:type="paragraph" w:styleId="Tekstdymka">
    <w:name w:val="Balloon Text"/>
    <w:basedOn w:val="Normalny"/>
    <w:link w:val="TekstdymkaZnak"/>
    <w:uiPriority w:val="99"/>
    <w:semiHidden/>
    <w:unhideWhenUsed/>
    <w:rsid w:val="000429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94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04294A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heading">
    <w:name w:val="Reference heading"/>
    <w:basedOn w:val="Normalny"/>
    <w:link w:val="ReferenceheadingChar"/>
    <w:uiPriority w:val="4"/>
    <w:rsid w:val="0004294A"/>
    <w:pPr>
      <w:framePr w:hSpace="142" w:wrap="around" w:vAnchor="page" w:hAnchor="margin" w:x="1" w:y="2626"/>
      <w:tabs>
        <w:tab w:val="left" w:pos="255"/>
        <w:tab w:val="left" w:pos="510"/>
      </w:tabs>
      <w:spacing w:line="255" w:lineRule="exact"/>
      <w:suppressOverlap/>
    </w:pPr>
    <w:rPr>
      <w:rFonts w:asciiTheme="minorHAnsi" w:eastAsiaTheme="minorHAnsi" w:hAnsiTheme="minorHAnsi" w:cstheme="minorBidi"/>
      <w:sz w:val="14"/>
      <w:szCs w:val="22"/>
      <w:lang w:val="en-GB" w:eastAsia="en-US"/>
    </w:rPr>
  </w:style>
  <w:style w:type="character" w:customStyle="1" w:styleId="ReferenceheadingChar">
    <w:name w:val="Reference heading Char"/>
    <w:basedOn w:val="Domylnaczcionkaakapitu"/>
    <w:link w:val="Referenceheading"/>
    <w:uiPriority w:val="4"/>
    <w:rsid w:val="0004294A"/>
    <w:rPr>
      <w:sz w:val="14"/>
      <w:lang w:val="en-GB"/>
    </w:rPr>
  </w:style>
  <w:style w:type="paragraph" w:customStyle="1" w:styleId="Reference">
    <w:name w:val="Reference"/>
    <w:basedOn w:val="Normalny"/>
    <w:next w:val="Normalny"/>
    <w:link w:val="ReferenceChar"/>
    <w:uiPriority w:val="4"/>
    <w:rsid w:val="0004294A"/>
    <w:pPr>
      <w:tabs>
        <w:tab w:val="left" w:pos="255"/>
        <w:tab w:val="left" w:pos="510"/>
      </w:tabs>
      <w:spacing w:line="255" w:lineRule="exact"/>
    </w:pPr>
    <w:rPr>
      <w:rFonts w:asciiTheme="minorHAnsi" w:eastAsiaTheme="minorHAnsi" w:hAnsiTheme="minorHAnsi" w:cstheme="minorBidi"/>
      <w:sz w:val="19"/>
      <w:szCs w:val="22"/>
      <w:lang w:val="en-GB" w:eastAsia="en-US"/>
    </w:rPr>
  </w:style>
  <w:style w:type="character" w:customStyle="1" w:styleId="ReferenceChar">
    <w:name w:val="Reference Char"/>
    <w:basedOn w:val="Domylnaczcionkaakapitu"/>
    <w:link w:val="Reference"/>
    <w:uiPriority w:val="4"/>
    <w:rsid w:val="0004294A"/>
    <w:rPr>
      <w:sz w:val="19"/>
      <w:lang w:val="en-GB"/>
    </w:rPr>
  </w:style>
  <w:style w:type="paragraph" w:customStyle="1" w:styleId="Senderinformation7pt">
    <w:name w:val="Sender information 7pt"/>
    <w:basedOn w:val="Normalny"/>
    <w:uiPriority w:val="4"/>
    <w:rsid w:val="0004294A"/>
    <w:pPr>
      <w:tabs>
        <w:tab w:val="left" w:pos="255"/>
        <w:tab w:val="left" w:pos="510"/>
      </w:tabs>
      <w:spacing w:line="199" w:lineRule="exact"/>
    </w:pPr>
    <w:rPr>
      <w:rFonts w:asciiTheme="minorHAnsi" w:eastAsiaTheme="minorHAnsi" w:hAnsiTheme="minorHAnsi" w:cstheme="minorBidi"/>
      <w:color w:val="000000" w:themeColor="text1"/>
      <w:sz w:val="14"/>
      <w:szCs w:val="22"/>
      <w:lang w:val="en-GB" w:eastAsia="en-US"/>
    </w:rPr>
  </w:style>
  <w:style w:type="paragraph" w:customStyle="1" w:styleId="Companyanddivisionname">
    <w:name w:val="Company and division name"/>
    <w:basedOn w:val="Normalny"/>
    <w:uiPriority w:val="4"/>
    <w:rsid w:val="0004294A"/>
    <w:pPr>
      <w:tabs>
        <w:tab w:val="left" w:pos="255"/>
        <w:tab w:val="left" w:pos="510"/>
      </w:tabs>
      <w:spacing w:line="199" w:lineRule="exact"/>
    </w:pPr>
    <w:rPr>
      <w:rFonts w:asciiTheme="minorHAnsi" w:eastAsiaTheme="minorHAnsi" w:hAnsiTheme="minorHAnsi" w:cstheme="minorBidi"/>
      <w:sz w:val="20"/>
      <w:szCs w:val="22"/>
      <w:lang w:val="en-GB"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4294A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B5FAF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pl-PL"/>
    </w:rPr>
  </w:style>
  <w:style w:type="character" w:customStyle="1" w:styleId="markedcontent">
    <w:name w:val="markedcontent"/>
    <w:basedOn w:val="Domylnaczcionkaakapitu"/>
    <w:rsid w:val="00DB5FAF"/>
  </w:style>
  <w:style w:type="paragraph" w:styleId="Akapitzlist">
    <w:name w:val="List Paragraph"/>
    <w:basedOn w:val="Normalny"/>
    <w:uiPriority w:val="34"/>
    <w:qFormat/>
    <w:rsid w:val="00DB5FA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31E3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1E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89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olterskluwer.com/pl-pl/solutions/czasopisma/ethical-principl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>4</_ip_UnifiedCompliancePolicyUIAction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E982491E947F47A789A5E29C27F8E7" ma:contentTypeVersion="9" ma:contentTypeDescription="Utwórz nowy dokument." ma:contentTypeScope="" ma:versionID="7bb3fec054a74bb98117be0598f30496">
  <xsd:schema xmlns:xsd="http://www.w3.org/2001/XMLSchema" xmlns:xs="http://www.w3.org/2001/XMLSchema" xmlns:p="http://schemas.microsoft.com/office/2006/metadata/properties" xmlns:ns1="http://schemas.microsoft.com/sharepoint/v3" xmlns:ns2="c4848005-7ad7-4942-ac8c-450f0fd56bc4" xmlns:ns3="ceab0050-b9f1-4a53-9059-1400a11e8d6e" targetNamespace="http://schemas.microsoft.com/office/2006/metadata/properties" ma:root="true" ma:fieldsID="9c9a6ee106aa47dbd2cb7869d0571fcc" ns1:_="" ns2:_="" ns3:_="">
    <xsd:import namespace="http://schemas.microsoft.com/sharepoint/v3"/>
    <xsd:import namespace="c4848005-7ad7-4942-ac8c-450f0fd56bc4"/>
    <xsd:import namespace="ceab0050-b9f1-4a53-9059-1400a11e8d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48005-7ad7-4942-ac8c-450f0fd56b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b0050-b9f1-4a53-9059-1400a11e8d6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797EED-C825-4B2B-89A6-997DEFCF47E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2AA330F-2395-48AF-8E67-13A89BDA98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BBC271-AE70-4E3D-93EB-41092C48DC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BAC878-B90D-45A7-87E0-A627DDEC9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848005-7ad7-4942-ac8c-450f0fd56bc4"/>
    <ds:schemaRef ds:uri="ceab0050-b9f1-4a53-9059-1400a11e8d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L</dc:creator>
  <cp:lastModifiedBy>Olędzka, Beata</cp:lastModifiedBy>
  <cp:revision>2</cp:revision>
  <cp:lastPrinted>2016-03-17T13:09:00Z</cp:lastPrinted>
  <dcterms:created xsi:type="dcterms:W3CDTF">2021-12-21T13:09:00Z</dcterms:created>
  <dcterms:modified xsi:type="dcterms:W3CDTF">2021-12-21T13:09:00Z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0x01010083E982491E947F47A789A5E29C27F8E7</vt:lpwstr>
  </property>
</Properties>
</file>