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322E" w14:textId="77777777" w:rsidR="00CB56E3" w:rsidRPr="00FD4D69" w:rsidRDefault="00CB56E3" w:rsidP="00CB56E3">
      <w:pPr>
        <w:rPr>
          <w:rFonts w:asciiTheme="minorHAnsi" w:hAnsiTheme="minorHAnsi"/>
          <w:b/>
          <w:bCs/>
          <w:sz w:val="22"/>
          <w:szCs w:val="32"/>
        </w:rPr>
      </w:pPr>
    </w:p>
    <w:p w14:paraId="6B0BDCA2" w14:textId="0A73BDD0" w:rsidR="00E46DD6" w:rsidRDefault="005815DA" w:rsidP="00E46DD6">
      <w:pPr>
        <w:rPr>
          <w:rFonts w:asciiTheme="minorHAnsi" w:hAnsiTheme="minorHAnsi"/>
          <w:b/>
          <w:bCs/>
          <w:sz w:val="32"/>
          <w:szCs w:val="32"/>
        </w:rPr>
      </w:pPr>
      <w:r w:rsidRPr="005815DA">
        <w:rPr>
          <w:rFonts w:asciiTheme="minorHAnsi" w:hAnsiTheme="minorHAnsi"/>
          <w:b/>
          <w:bCs/>
          <w:sz w:val="32"/>
          <w:szCs w:val="32"/>
        </w:rPr>
        <w:t xml:space="preserve">International Encyclopaedia of Laws </w:t>
      </w:r>
    </w:p>
    <w:p w14:paraId="411C2F75" w14:textId="77777777" w:rsidR="00E46DD6" w:rsidRPr="00E818E6" w:rsidRDefault="00E46DD6" w:rsidP="00E46DD6">
      <w:pPr>
        <w:rPr>
          <w:rFonts w:asciiTheme="minorHAnsi" w:hAnsiTheme="minorHAnsi"/>
          <w:b/>
          <w:bCs/>
          <w:sz w:val="22"/>
          <w:szCs w:val="32"/>
        </w:rPr>
      </w:pPr>
    </w:p>
    <w:p w14:paraId="7155780A" w14:textId="22CEDD94" w:rsidR="00E46DD6" w:rsidRPr="00E818E6" w:rsidRDefault="00AD02E2" w:rsidP="00E46DD6">
      <w:pPr>
        <w:rPr>
          <w:rFonts w:asciiTheme="minorHAnsi" w:hAnsiTheme="minorHAnsi"/>
          <w:bCs/>
          <w:sz w:val="28"/>
          <w:szCs w:val="28"/>
        </w:rPr>
      </w:pPr>
      <w:r w:rsidRPr="00AD02E2">
        <w:rPr>
          <w:rFonts w:asciiTheme="minorHAnsi" w:hAnsiTheme="minorHAnsi"/>
          <w:bCs/>
          <w:sz w:val="28"/>
          <w:szCs w:val="28"/>
        </w:rPr>
        <w:t xml:space="preserve">Corporations and Partnerships </w:t>
      </w:r>
      <w:r w:rsidR="00402076" w:rsidRPr="00402076">
        <w:rPr>
          <w:rFonts w:asciiTheme="minorHAnsi" w:hAnsiTheme="minorHAnsi"/>
          <w:bCs/>
          <w:sz w:val="28"/>
          <w:szCs w:val="28"/>
        </w:rPr>
        <w:t>- Outline</w:t>
      </w:r>
    </w:p>
    <w:p w14:paraId="76EAFDFB" w14:textId="77777777" w:rsidR="00E46DD6" w:rsidRPr="00E818E6" w:rsidRDefault="00E46DD6" w:rsidP="00E46DD6">
      <w:pPr>
        <w:rPr>
          <w:rFonts w:asciiTheme="minorHAnsi" w:hAnsiTheme="minorHAnsi"/>
          <w:sz w:val="20"/>
        </w:rPr>
      </w:pPr>
    </w:p>
    <w:p w14:paraId="5337CDB2" w14:textId="77777777" w:rsidR="001A2FBF" w:rsidRDefault="001A2FBF" w:rsidP="00E46DD6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4C9D8F11" w14:textId="77777777" w:rsidR="0018129C" w:rsidRPr="0018129C" w:rsidRDefault="0018129C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The Author</w:t>
      </w:r>
    </w:p>
    <w:p w14:paraId="4D5F634C" w14:textId="77777777" w:rsidR="000650B0" w:rsidRPr="000650B0" w:rsidRDefault="000650B0" w:rsidP="000650B0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0650B0">
        <w:rPr>
          <w:rFonts w:asciiTheme="minorHAnsi" w:eastAsia="Calibri" w:hAnsiTheme="minorHAnsi"/>
          <w:b/>
          <w:bCs/>
          <w:sz w:val="22"/>
          <w:szCs w:val="22"/>
        </w:rPr>
        <w:t>Table of contents</w:t>
      </w:r>
      <w:r w:rsidRPr="000650B0">
        <w:rPr>
          <w:rFonts w:asciiTheme="minorHAnsi" w:eastAsia="Calibri" w:hAnsiTheme="minorHAnsi"/>
          <w:b/>
          <w:bCs/>
          <w:sz w:val="22"/>
          <w:szCs w:val="22"/>
          <w:vertAlign w:val="superscript"/>
        </w:rPr>
        <w:footnoteReference w:customMarkFollows="1" w:id="1"/>
        <w:t>*</w:t>
      </w:r>
    </w:p>
    <w:p w14:paraId="646A92BC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 xml:space="preserve">List of abbreviations </w:t>
      </w:r>
    </w:p>
    <w:p w14:paraId="7E378762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Preface</w:t>
      </w:r>
    </w:p>
    <w:p w14:paraId="616FA2E5" w14:textId="1DBE74BC" w:rsidR="001A2FB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0427C33B" w14:textId="77777777" w:rsidR="00D975FF" w:rsidRPr="00D975FF" w:rsidRDefault="00D975FF" w:rsidP="00D975F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sz w:val="22"/>
          <w:szCs w:val="22"/>
        </w:rPr>
      </w:pPr>
      <w:r w:rsidRPr="00D975FF">
        <w:rPr>
          <w:rFonts w:asciiTheme="minorHAnsi" w:eastAsia="Calibri" w:hAnsiTheme="minorHAnsi"/>
          <w:b/>
          <w:sz w:val="22"/>
          <w:szCs w:val="22"/>
        </w:rPr>
        <w:t>General Introduction</w:t>
      </w:r>
    </w:p>
    <w:p w14:paraId="224A380F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§1. The general background of the country </w:t>
      </w:r>
    </w:p>
    <w:p w14:paraId="145569E0" w14:textId="61F79EAD" w:rsid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Geography</w:t>
      </w:r>
    </w:p>
    <w:p w14:paraId="21B68141" w14:textId="77777777" w:rsid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Cultural composition</w:t>
      </w:r>
    </w:p>
    <w:p w14:paraId="1D40F53C" w14:textId="77777777" w:rsid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Political system</w:t>
      </w:r>
    </w:p>
    <w:p w14:paraId="4EA6ACF3" w14:textId="77777777" w:rsid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Population and employment statistics</w:t>
      </w:r>
    </w:p>
    <w:p w14:paraId="0B02BE4E" w14:textId="77777777" w:rsid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Enterprise, corporations, and partnerships statistics</w:t>
      </w:r>
    </w:p>
    <w:p w14:paraId="65BB0C32" w14:textId="77777777" w:rsid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Social and cultural values</w:t>
      </w:r>
    </w:p>
    <w:p w14:paraId="4EA2E92E" w14:textId="41975595" w:rsidR="00AD02E2" w:rsidRPr="00AD02E2" w:rsidRDefault="00AD02E2" w:rsidP="00433AB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Privatization efforts and golden shares</w:t>
      </w:r>
    </w:p>
    <w:p w14:paraId="5AD86F16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§2. The historical background of corporations and partnerships</w:t>
      </w:r>
    </w:p>
    <w:p w14:paraId="3C2A95FB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§3. Definitions and structure of corporations and partnerships </w:t>
      </w:r>
    </w:p>
    <w:p w14:paraId="48C882BE" w14:textId="72E6AEF0" w:rsidR="00AD02E2" w:rsidRDefault="00AD02E2" w:rsidP="00433AB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Different forms of corporations and partnerships [sub-section for each]</w:t>
      </w:r>
    </w:p>
    <w:p w14:paraId="01B40DB2" w14:textId="77777777" w:rsidR="00AD02E2" w:rsidRDefault="00AD02E2" w:rsidP="00433AB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Distinction between structures and consequences</w:t>
      </w:r>
    </w:p>
    <w:p w14:paraId="1463FC25" w14:textId="77777777" w:rsidR="00AD02E2" w:rsidRDefault="00AD02E2" w:rsidP="00433AB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Commercial and civil corporations and partnerships [if applicable]</w:t>
      </w:r>
    </w:p>
    <w:p w14:paraId="6525EA21" w14:textId="07C10EDD" w:rsidR="00AD02E2" w:rsidRPr="00AD02E2" w:rsidRDefault="00AD02E2" w:rsidP="00433AB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Non-profit associations and other corporate legal persons</w:t>
      </w:r>
    </w:p>
    <w:p w14:paraId="7A93E8CC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§4. Sources and hierarchy of the law on corporations and partnerships </w:t>
      </w:r>
    </w:p>
    <w:p w14:paraId="1756E122" w14:textId="73FF518F" w:rsidR="00AD02E2" w:rsidRDefault="00AD02E2" w:rsidP="00433AB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International sources (for European countries, one may refer to the section of the Encyclopaedia that deals with the EEC)</w:t>
      </w:r>
    </w:p>
    <w:p w14:paraId="7B07951D" w14:textId="6D8FE29D" w:rsidR="00AD02E2" w:rsidRPr="00AD02E2" w:rsidRDefault="00AD02E2" w:rsidP="00433AB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National sources</w:t>
      </w:r>
    </w:p>
    <w:p w14:paraId="6CF0697A" w14:textId="28430BCC" w:rsidR="00AD02E2" w:rsidRDefault="00AD02E2" w:rsidP="00433AB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Legislation [federal and state law, if applicable]</w:t>
      </w:r>
    </w:p>
    <w:p w14:paraId="2900A76D" w14:textId="77777777" w:rsidR="00AD02E2" w:rsidRDefault="00AD02E2" w:rsidP="00433AB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By-laws or articles</w:t>
      </w:r>
    </w:p>
    <w:p w14:paraId="73DDA8CF" w14:textId="66A37D09" w:rsidR="00AD02E2" w:rsidRPr="00AD02E2" w:rsidRDefault="00AD02E2" w:rsidP="00433AB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Relationship between by-laws or articles and legislation</w:t>
      </w:r>
    </w:p>
    <w:p w14:paraId="0A3D76C5" w14:textId="1C9C3D9F" w:rsidR="00AD02E2" w:rsidRPr="00AD02E2" w:rsidRDefault="00AD02E2" w:rsidP="00433AB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Hierarchy of the law on corporations and partnership</w:t>
      </w:r>
    </w:p>
    <w:p w14:paraId="764B385F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§5. International Private Law (Conflict of laws rules)</w:t>
      </w:r>
    </w:p>
    <w:p w14:paraId="5EE1DB77" w14:textId="3EBE7CF6" w:rsidR="009874E1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§6. The </w:t>
      </w:r>
      <w:proofErr w:type="spellStart"/>
      <w:r w:rsidRPr="00AD02E2">
        <w:rPr>
          <w:rFonts w:asciiTheme="minorHAnsi" w:hAnsiTheme="minorHAnsi"/>
          <w:lang w:val="en-US"/>
        </w:rPr>
        <w:t>labour</w:t>
      </w:r>
      <w:proofErr w:type="spellEnd"/>
      <w:r w:rsidRPr="00AD02E2">
        <w:rPr>
          <w:rFonts w:asciiTheme="minorHAnsi" w:hAnsiTheme="minorHAnsi"/>
          <w:lang w:val="en-US"/>
        </w:rPr>
        <w:t xml:space="preserve"> law connection: co-determination and corporate structure</w:t>
      </w:r>
    </w:p>
    <w:p w14:paraId="54F74F43" w14:textId="77777777" w:rsidR="00AD02E2" w:rsidRDefault="00AD02E2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</w:p>
    <w:p w14:paraId="2E4E6C0A" w14:textId="2DD9BA50" w:rsidR="00E46DD6" w:rsidRPr="00517978" w:rsidRDefault="00394C15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394C15">
        <w:rPr>
          <w:rFonts w:asciiTheme="minorHAnsi" w:hAnsiTheme="minorHAnsi"/>
          <w:b/>
          <w:lang w:val="en-US"/>
        </w:rPr>
        <w:t xml:space="preserve">Part I. </w:t>
      </w:r>
      <w:r w:rsidR="00AD02E2" w:rsidRPr="00AD02E2">
        <w:rPr>
          <w:rFonts w:asciiTheme="minorHAnsi" w:hAnsiTheme="minorHAnsi"/>
          <w:b/>
          <w:lang w:val="en-US"/>
        </w:rPr>
        <w:t>Corporations / Companies</w:t>
      </w:r>
    </w:p>
    <w:p w14:paraId="32B94720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b/>
          <w:bCs/>
          <w:lang w:val="en-US"/>
        </w:rPr>
        <w:t>Chapter 1.</w:t>
      </w:r>
      <w:r w:rsidRPr="00AD02E2">
        <w:rPr>
          <w:rFonts w:asciiTheme="minorHAnsi" w:hAnsiTheme="minorHAnsi"/>
          <w:lang w:val="en-US"/>
        </w:rPr>
        <w:t xml:space="preserve"> Big Corporation - Public Corporation - Share Company </w:t>
      </w:r>
    </w:p>
    <w:p w14:paraId="08EA5951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§1. Characteristics </w:t>
      </w:r>
    </w:p>
    <w:p w14:paraId="21711EDE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§2. Formation </w:t>
      </w:r>
    </w:p>
    <w:p w14:paraId="0BB9E519" w14:textId="386BB5F4" w:rsid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Formal requirements (e.g. notarial record) and minimum content of articles</w:t>
      </w:r>
    </w:p>
    <w:p w14:paraId="45728730" w14:textId="77777777" w:rsid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Notification, registration, incorporation and publicity </w:t>
      </w:r>
    </w:p>
    <w:p w14:paraId="4964417F" w14:textId="77777777" w:rsid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Contracts made on behalf of a corporation /company in formation </w:t>
      </w:r>
    </w:p>
    <w:p w14:paraId="7A35BE5B" w14:textId="77777777" w:rsid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Number of subscribers </w:t>
      </w:r>
    </w:p>
    <w:p w14:paraId="18ED7CB7" w14:textId="77777777" w:rsid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Initial share capital </w:t>
      </w:r>
    </w:p>
    <w:p w14:paraId="2A5C8BB9" w14:textId="77777777" w:rsid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Contributions in kind </w:t>
      </w:r>
    </w:p>
    <w:p w14:paraId="79362823" w14:textId="145C0C9C" w:rsidR="00AD02E2" w:rsidRPr="00AD02E2" w:rsidRDefault="00AD02E2" w:rsidP="00433AB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Other material formation requirements </w:t>
      </w:r>
    </w:p>
    <w:p w14:paraId="2DAEC69E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lastRenderedPageBreak/>
        <w:t xml:space="preserve">§3. Essential elements of the legal person: seat, name, objects clause and (in some civil law countries: commercial or civil) character </w:t>
      </w:r>
    </w:p>
    <w:p w14:paraId="250677A3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§4. Capital and shares </w:t>
      </w:r>
    </w:p>
    <w:p w14:paraId="46C6E079" w14:textId="7659CEE5" w:rsidR="00AD02E2" w:rsidRP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Different concepts of capital</w:t>
      </w:r>
    </w:p>
    <w:p w14:paraId="1EC4DF46" w14:textId="6EB330EE" w:rsidR="00AD02E2" w:rsidRPr="00AD02E2" w:rsidRDefault="00AD02E2" w:rsidP="00433AB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Nominal, issued, paid up, minimum and authorized capital (a sub-heading for each)</w:t>
      </w:r>
    </w:p>
    <w:p w14:paraId="463751DD" w14:textId="77777777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Alteration of capital requirements </w:t>
      </w:r>
    </w:p>
    <w:p w14:paraId="68C0A0FF" w14:textId="77777777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Preferential right of subscription </w:t>
      </w:r>
    </w:p>
    <w:p w14:paraId="3E8C0BF3" w14:textId="77777777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Issues of shares at a premium and at a discount </w:t>
      </w:r>
    </w:p>
    <w:p w14:paraId="32454864" w14:textId="77777777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Public issue requirements (prospectuses) and promoters </w:t>
      </w:r>
    </w:p>
    <w:p w14:paraId="7B5CC227" w14:textId="77777777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Stock exchange introduction requirements </w:t>
      </w:r>
    </w:p>
    <w:p w14:paraId="58074DA6" w14:textId="77777777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Forbidden reductions of capital and acquisition of shares by the corporation itself </w:t>
      </w:r>
    </w:p>
    <w:p w14:paraId="144168CC" w14:textId="4A66779B" w:rsidR="00AD02E2" w:rsidRP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Classes of shares</w:t>
      </w:r>
    </w:p>
    <w:p w14:paraId="1A617F86" w14:textId="77777777" w:rsid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Bearer-nominative</w:t>
      </w:r>
    </w:p>
    <w:p w14:paraId="383E459D" w14:textId="77777777" w:rsid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Preferred stock</w:t>
      </w:r>
    </w:p>
    <w:p w14:paraId="3FD89E18" w14:textId="77777777" w:rsid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Deferred</w:t>
      </w:r>
    </w:p>
    <w:p w14:paraId="40DA4640" w14:textId="77777777" w:rsid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Non-voting</w:t>
      </w:r>
    </w:p>
    <w:p w14:paraId="7AF7BCC6" w14:textId="77777777" w:rsid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Multiple voting</w:t>
      </w:r>
    </w:p>
    <w:p w14:paraId="2530D54F" w14:textId="77777777" w:rsid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Certificate and warrant shares</w:t>
      </w:r>
    </w:p>
    <w:p w14:paraId="487CD1D4" w14:textId="22FB7E81" w:rsidR="00AD02E2" w:rsidRPr="00AD02E2" w:rsidRDefault="00AD02E2" w:rsidP="00433AB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Others (a sub-heading for each)</w:t>
      </w:r>
    </w:p>
    <w:p w14:paraId="778A7FDD" w14:textId="0FBD7380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Transfer of shares</w:t>
      </w:r>
    </w:p>
    <w:p w14:paraId="175836ED" w14:textId="15389A44" w:rsidR="00AD02E2" w:rsidRDefault="00AD02E2" w:rsidP="00433AB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Registration</w:t>
      </w:r>
    </w:p>
    <w:p w14:paraId="71C11CBA" w14:textId="77777777" w:rsidR="00DD71B0" w:rsidRDefault="00AD02E2" w:rsidP="00433AB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Gift-sale</w:t>
      </w:r>
    </w:p>
    <w:p w14:paraId="668F9E23" w14:textId="77777777" w:rsidR="00DD71B0" w:rsidRDefault="00AD02E2" w:rsidP="00433AB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Stock exchange</w:t>
      </w:r>
    </w:p>
    <w:p w14:paraId="042B30D1" w14:textId="77777777" w:rsidR="00DD71B0" w:rsidRDefault="00AD02E2" w:rsidP="00433AB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Protection of shareholders in case of tender offer</w:t>
      </w:r>
    </w:p>
    <w:p w14:paraId="1221CAEF" w14:textId="77777777" w:rsidR="00DD71B0" w:rsidRDefault="00AD02E2" w:rsidP="00433AB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Insider trading</w:t>
      </w:r>
    </w:p>
    <w:p w14:paraId="370D36A8" w14:textId="7F26C9C1" w:rsidR="00AD02E2" w:rsidRPr="00DD71B0" w:rsidRDefault="00AD02E2" w:rsidP="00433AB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Etc. </w:t>
      </w:r>
    </w:p>
    <w:p w14:paraId="10F6AD7D" w14:textId="5524A466" w:rsidR="00AD02E2" w:rsidRDefault="00AD02E2" w:rsidP="00433AB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(Mortgage) debentures and other securities which do not (yet) represent capital </w:t>
      </w:r>
    </w:p>
    <w:p w14:paraId="626A61CF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§5. Shareholders, management and control</w:t>
      </w:r>
    </w:p>
    <w:p w14:paraId="33AF92D7" w14:textId="48D82943" w:rsidR="00DD71B0" w:rsidRDefault="00DD71B0" w:rsidP="00433AB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Shareholder control mechanisms/Shareholders</w:t>
      </w:r>
    </w:p>
    <w:p w14:paraId="19C9591F" w14:textId="77777777" w:rsidR="00DD71B0" w:rsidRDefault="00AD02E2" w:rsidP="00433AB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Shareholders meeting (kinds, convening, proxies, powers)</w:t>
      </w:r>
    </w:p>
    <w:p w14:paraId="393B6F2F" w14:textId="77777777" w:rsidR="00DD71B0" w:rsidRDefault="00AD02E2" w:rsidP="00433AB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Majority rule: legal and statutory protection of minority and majority</w:t>
      </w:r>
    </w:p>
    <w:p w14:paraId="674869B1" w14:textId="71C54D82" w:rsidR="00AD02E2" w:rsidRPr="00DD71B0" w:rsidRDefault="00AD02E2" w:rsidP="00433AB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Annual account and report; profits and dividends</w:t>
      </w:r>
    </w:p>
    <w:p w14:paraId="0051C001" w14:textId="3EDC7F65" w:rsidR="00DD71B0" w:rsidRPr="00DD71B0" w:rsidRDefault="00AD02E2" w:rsidP="00433AB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Administrative or management body</w:t>
      </w:r>
    </w:p>
    <w:p w14:paraId="399732DB" w14:textId="45F3CEB5" w:rsidR="00AD02E2" w:rsidRDefault="00AD02E2" w:rsidP="00433AB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Directors and administrative board (appointment requirements, remuneration, dismissal</w:t>
      </w:r>
      <w:r w:rsidR="00DD71B0">
        <w:rPr>
          <w:rFonts w:asciiTheme="minorHAnsi" w:hAnsiTheme="minorHAnsi"/>
          <w:lang w:val="en-US"/>
        </w:rPr>
        <w:t>)</w:t>
      </w:r>
    </w:p>
    <w:p w14:paraId="43D2F174" w14:textId="77777777" w:rsidR="00DD71B0" w:rsidRDefault="00AD02E2" w:rsidP="00433AB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Powers of management and representation</w:t>
      </w:r>
    </w:p>
    <w:p w14:paraId="4BCC72CA" w14:textId="77777777" w:rsidR="00DD71B0" w:rsidRDefault="00AD02E2" w:rsidP="00433AB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Duties of directors to the company (conflict of interest) the shareholders and third parties</w:t>
      </w:r>
    </w:p>
    <w:p w14:paraId="59C59315" w14:textId="54293469" w:rsidR="00AD02E2" w:rsidRPr="00DD71B0" w:rsidRDefault="00AD02E2" w:rsidP="00433AB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Liability of directors</w:t>
      </w:r>
    </w:p>
    <w:p w14:paraId="55208FB4" w14:textId="77777777" w:rsidR="00DD71B0" w:rsidRDefault="00AD02E2" w:rsidP="00433AB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Auditor (appointment, powers, duties)</w:t>
      </w:r>
    </w:p>
    <w:p w14:paraId="5741B1D3" w14:textId="4DC9E344" w:rsidR="00AD02E2" w:rsidRPr="00DD71B0" w:rsidRDefault="00AD02E2" w:rsidP="00433AB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Workers' participation (e.g. via two-tier board structure or auditor appointment)</w:t>
      </w:r>
    </w:p>
    <w:p w14:paraId="0E4FCB1D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§6. Liquidation of the corporation / company </w:t>
      </w:r>
    </w:p>
    <w:p w14:paraId="0C0CDDEB" w14:textId="77777777" w:rsidR="00DD71B0" w:rsidRDefault="00DD71B0" w:rsidP="00433AB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Grounds for winding up (court decision, shareholders' meeting) </w:t>
      </w:r>
    </w:p>
    <w:p w14:paraId="14E7A89B" w14:textId="3D19E809" w:rsidR="00AD02E2" w:rsidRPr="00DD71B0" w:rsidRDefault="00AD02E2" w:rsidP="00433AB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The effect of winding up: liquidation </w:t>
      </w:r>
    </w:p>
    <w:p w14:paraId="163C0645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>§7. Mergers and takeovers</w:t>
      </w:r>
    </w:p>
    <w:p w14:paraId="38889049" w14:textId="77777777" w:rsidR="00DD71B0" w:rsidRDefault="00AD02E2" w:rsidP="00433AB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Restrictions on mergers &amp; takeovers</w:t>
      </w:r>
    </w:p>
    <w:p w14:paraId="33231C6A" w14:textId="77777777" w:rsidR="00DD71B0" w:rsidRDefault="00AD02E2" w:rsidP="00433AB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Regulation</w:t>
      </w:r>
    </w:p>
    <w:p w14:paraId="739DFD22" w14:textId="140C3392" w:rsidR="00AD02E2" w:rsidRPr="00DD71B0" w:rsidRDefault="00AD02E2" w:rsidP="00433AB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Protective measures </w:t>
      </w:r>
    </w:p>
    <w:p w14:paraId="0F04EBFA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§8. Holding companies and subsidiaries </w:t>
      </w:r>
    </w:p>
    <w:p w14:paraId="4ADD9B94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§9. Taxation of corporations and shareholders </w:t>
      </w:r>
    </w:p>
    <w:p w14:paraId="32A65ABA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b/>
          <w:bCs/>
          <w:lang w:val="en-US"/>
        </w:rPr>
        <w:t>Chapter 2.</w:t>
      </w:r>
      <w:r w:rsidRPr="00AD02E2">
        <w:rPr>
          <w:rFonts w:asciiTheme="minorHAnsi" w:hAnsiTheme="minorHAnsi"/>
          <w:lang w:val="en-US"/>
        </w:rPr>
        <w:t xml:space="preserve"> Closed Corporation - Private Company - Limited Liability Company </w:t>
      </w:r>
    </w:p>
    <w:p w14:paraId="32F362DE" w14:textId="77777777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t xml:space="preserve">§1. What makes this type of corporation different? (e.g. the content of the articles, the form chosen) </w:t>
      </w:r>
    </w:p>
    <w:p w14:paraId="2B7E5369" w14:textId="3E24BB8F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lang w:val="en-US"/>
        </w:rPr>
        <w:lastRenderedPageBreak/>
        <w:t>§2. In what respect is there a different legal treatment of this corporation? (e.g. type of shares, limited transferability, limited number of shareholders, taxation)</w:t>
      </w:r>
    </w:p>
    <w:p w14:paraId="7128F9FD" w14:textId="77777777" w:rsidR="00DD71B0" w:rsidRDefault="00DD71B0" w:rsidP="00E417F9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3F0B9F96" w14:textId="6292B9D5" w:rsidR="00956484" w:rsidRPr="00956484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 xml:space="preserve">Part II. </w:t>
      </w:r>
      <w:r w:rsidR="00DD71B0" w:rsidRPr="00DD71B0">
        <w:rPr>
          <w:rFonts w:asciiTheme="minorHAnsi" w:hAnsiTheme="minorHAnsi"/>
          <w:b/>
          <w:bCs/>
          <w:lang w:val="en-US"/>
        </w:rPr>
        <w:t>Partnerships</w:t>
      </w:r>
    </w:p>
    <w:p w14:paraId="57357CBD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b/>
          <w:bCs/>
          <w:lang w:val="en-US"/>
        </w:rPr>
        <w:t xml:space="preserve">Chapter 1. </w:t>
      </w:r>
      <w:r w:rsidRPr="00DD71B0">
        <w:rPr>
          <w:rFonts w:asciiTheme="minorHAnsi" w:hAnsiTheme="minorHAnsi"/>
          <w:lang w:val="en-US"/>
        </w:rPr>
        <w:t>Different types [For each type, one chapter, with the following subdivisions]:</w:t>
      </w:r>
    </w:p>
    <w:p w14:paraId="39FF33B4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§1. To what extent does this type enjoy legal personality? </w:t>
      </w:r>
    </w:p>
    <w:p w14:paraId="0E6F6074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§2. Nature of the unlimited liability </w:t>
      </w:r>
    </w:p>
    <w:p w14:paraId="61D3F05F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§3. Contributions and division of profits </w:t>
      </w:r>
    </w:p>
    <w:p w14:paraId="1AB94920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§4. Management </w:t>
      </w:r>
    </w:p>
    <w:p w14:paraId="51371795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§5. Transferability of partnership interests</w:t>
      </w:r>
    </w:p>
    <w:p w14:paraId="4990897E" w14:textId="77777777" w:rsidR="00DD71B0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 xml:space="preserve">§6. Liquidation </w:t>
      </w:r>
    </w:p>
    <w:p w14:paraId="60F190CB" w14:textId="5A6414D3" w:rsidR="00956484" w:rsidRP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  <w:r w:rsidRPr="00DD71B0">
        <w:rPr>
          <w:rFonts w:asciiTheme="minorHAnsi" w:hAnsiTheme="minorHAnsi"/>
          <w:lang w:val="en-US"/>
        </w:rPr>
        <w:t>§7. Taxation (in brief)</w:t>
      </w:r>
    </w:p>
    <w:p w14:paraId="4C7FD9DD" w14:textId="77777777" w:rsidR="00DD71B0" w:rsidRDefault="00DD71B0" w:rsidP="00DD71B0">
      <w:pPr>
        <w:pStyle w:val="NoSpacing"/>
        <w:jc w:val="both"/>
        <w:rPr>
          <w:rFonts w:asciiTheme="minorHAnsi" w:hAnsiTheme="minorHAnsi"/>
          <w:lang w:val="en-US"/>
        </w:rPr>
      </w:pPr>
    </w:p>
    <w:p w14:paraId="613A5D6D" w14:textId="77777777" w:rsidR="00957B48" w:rsidRPr="00E417F9" w:rsidRDefault="00957B48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>Selected bibliography</w:t>
      </w:r>
    </w:p>
    <w:p w14:paraId="6FDD8A78" w14:textId="77777777" w:rsidR="00C877FF" w:rsidRPr="00E417F9" w:rsidRDefault="00C877FF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sectPr w:rsidR="00C877FF" w:rsidRPr="00E417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0369" w14:textId="77777777" w:rsidR="00263B2A" w:rsidRDefault="00263B2A" w:rsidP="00CB56E3">
      <w:r>
        <w:separator/>
      </w:r>
    </w:p>
  </w:endnote>
  <w:endnote w:type="continuationSeparator" w:id="0">
    <w:p w14:paraId="7F69D630" w14:textId="77777777" w:rsidR="00263B2A" w:rsidRDefault="00263B2A" w:rsidP="00C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BA50" w14:textId="77777777" w:rsidR="00263B2A" w:rsidRDefault="00263B2A" w:rsidP="00CB56E3">
      <w:r>
        <w:separator/>
      </w:r>
    </w:p>
  </w:footnote>
  <w:footnote w:type="continuationSeparator" w:id="0">
    <w:p w14:paraId="0D5D76E0" w14:textId="77777777" w:rsidR="00263B2A" w:rsidRDefault="00263B2A" w:rsidP="00CB56E3">
      <w:r>
        <w:continuationSeparator/>
      </w:r>
    </w:p>
  </w:footnote>
  <w:footnote w:id="1">
    <w:p w14:paraId="5F7127EF" w14:textId="77777777" w:rsidR="000650B0" w:rsidRDefault="000650B0" w:rsidP="000650B0">
      <w:pPr>
        <w:pStyle w:val="FootnoteText"/>
        <w:rPr>
          <w:lang w:val="en-NL"/>
        </w:rPr>
      </w:pPr>
      <w:r>
        <w:rPr>
          <w:rStyle w:val="FootnoteReference"/>
        </w:rPr>
        <w:t>*</w:t>
      </w:r>
      <w:r>
        <w:t xml:space="preserve"> The table of contents is automatically generated by the publisher; it is not provided by the author.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DB41" w14:textId="77777777" w:rsidR="00CB56E3" w:rsidRPr="00CB56E3" w:rsidRDefault="00CB56E3" w:rsidP="00CB56E3">
    <w:pPr>
      <w:pStyle w:val="Header"/>
      <w:jc w:val="center"/>
    </w:pPr>
    <w:r>
      <w:rPr>
        <w:rFonts w:asciiTheme="minorHAnsi" w:hAnsiTheme="minorHAnsi"/>
        <w:b/>
        <w:bCs/>
        <w:noProof/>
        <w:sz w:val="22"/>
        <w:szCs w:val="22"/>
        <w:lang w:val="en-GB" w:eastAsia="en-GB"/>
      </w:rPr>
      <w:drawing>
        <wp:inline distT="0" distB="0" distL="0" distR="0" wp14:anchorId="7F00D2CF" wp14:editId="5DA45565">
          <wp:extent cx="2318431" cy="65722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79" cy="67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06A1F"/>
    <w:multiLevelType w:val="hybridMultilevel"/>
    <w:tmpl w:val="5B1A5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2184F"/>
    <w:multiLevelType w:val="hybridMultilevel"/>
    <w:tmpl w:val="F564C0F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F2CD8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2CD6"/>
    <w:multiLevelType w:val="hybridMultilevel"/>
    <w:tmpl w:val="55ACFE9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CA67A5"/>
    <w:multiLevelType w:val="hybridMultilevel"/>
    <w:tmpl w:val="5B1A5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C55F2"/>
    <w:multiLevelType w:val="hybridMultilevel"/>
    <w:tmpl w:val="5B1A5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8123D"/>
    <w:multiLevelType w:val="hybridMultilevel"/>
    <w:tmpl w:val="446E8E9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723"/>
    <w:multiLevelType w:val="hybridMultilevel"/>
    <w:tmpl w:val="CE80BBE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4D0616"/>
    <w:multiLevelType w:val="hybridMultilevel"/>
    <w:tmpl w:val="4B902C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823081"/>
    <w:multiLevelType w:val="hybridMultilevel"/>
    <w:tmpl w:val="8960A28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65229C6"/>
    <w:multiLevelType w:val="hybridMultilevel"/>
    <w:tmpl w:val="67F20A8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A04CE4"/>
    <w:multiLevelType w:val="hybridMultilevel"/>
    <w:tmpl w:val="5B1A5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0416"/>
    <w:multiLevelType w:val="hybridMultilevel"/>
    <w:tmpl w:val="11D8E68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8E5B04"/>
    <w:multiLevelType w:val="hybridMultilevel"/>
    <w:tmpl w:val="CEB8E4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969111">
    <w:abstractNumId w:val="13"/>
  </w:num>
  <w:num w:numId="2" w16cid:durableId="1197932661">
    <w:abstractNumId w:val="1"/>
  </w:num>
  <w:num w:numId="3" w16cid:durableId="701249040">
    <w:abstractNumId w:val="6"/>
  </w:num>
  <w:num w:numId="4" w16cid:durableId="383063643">
    <w:abstractNumId w:val="7"/>
  </w:num>
  <w:num w:numId="5" w16cid:durableId="219361884">
    <w:abstractNumId w:val="2"/>
  </w:num>
  <w:num w:numId="6" w16cid:durableId="193613549">
    <w:abstractNumId w:val="0"/>
  </w:num>
  <w:num w:numId="7" w16cid:durableId="72121012">
    <w:abstractNumId w:val="3"/>
  </w:num>
  <w:num w:numId="8" w16cid:durableId="1941599295">
    <w:abstractNumId w:val="12"/>
  </w:num>
  <w:num w:numId="9" w16cid:durableId="759332158">
    <w:abstractNumId w:val="9"/>
  </w:num>
  <w:num w:numId="10" w16cid:durableId="1492214543">
    <w:abstractNumId w:val="11"/>
  </w:num>
  <w:num w:numId="11" w16cid:durableId="1814175645">
    <w:abstractNumId w:val="10"/>
  </w:num>
  <w:num w:numId="12" w16cid:durableId="693575730">
    <w:abstractNumId w:val="8"/>
  </w:num>
  <w:num w:numId="13" w16cid:durableId="339894035">
    <w:abstractNumId w:val="5"/>
  </w:num>
  <w:num w:numId="14" w16cid:durableId="5578196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E3"/>
    <w:rsid w:val="00045E24"/>
    <w:rsid w:val="000650B0"/>
    <w:rsid w:val="000E50C0"/>
    <w:rsid w:val="00175B63"/>
    <w:rsid w:val="0018129C"/>
    <w:rsid w:val="001A2FBF"/>
    <w:rsid w:val="00205CED"/>
    <w:rsid w:val="00246B24"/>
    <w:rsid w:val="00263B2A"/>
    <w:rsid w:val="00265DCA"/>
    <w:rsid w:val="00284D2D"/>
    <w:rsid w:val="002959FA"/>
    <w:rsid w:val="00345A4A"/>
    <w:rsid w:val="00384543"/>
    <w:rsid w:val="00394C15"/>
    <w:rsid w:val="003D16F8"/>
    <w:rsid w:val="003D6697"/>
    <w:rsid w:val="00402076"/>
    <w:rsid w:val="00433AB1"/>
    <w:rsid w:val="00452596"/>
    <w:rsid w:val="00457FA2"/>
    <w:rsid w:val="00471207"/>
    <w:rsid w:val="004B0E6A"/>
    <w:rsid w:val="004B0F7B"/>
    <w:rsid w:val="004B179F"/>
    <w:rsid w:val="004C57FC"/>
    <w:rsid w:val="004E5EEE"/>
    <w:rsid w:val="00517978"/>
    <w:rsid w:val="005815DA"/>
    <w:rsid w:val="005B484D"/>
    <w:rsid w:val="005D7FD1"/>
    <w:rsid w:val="0067257C"/>
    <w:rsid w:val="00761DEF"/>
    <w:rsid w:val="007831B2"/>
    <w:rsid w:val="0083059F"/>
    <w:rsid w:val="0087795B"/>
    <w:rsid w:val="00911134"/>
    <w:rsid w:val="00911AFD"/>
    <w:rsid w:val="00956484"/>
    <w:rsid w:val="00957B48"/>
    <w:rsid w:val="009874E1"/>
    <w:rsid w:val="009C54A4"/>
    <w:rsid w:val="00A36BB5"/>
    <w:rsid w:val="00AD02E2"/>
    <w:rsid w:val="00B10C35"/>
    <w:rsid w:val="00B3492E"/>
    <w:rsid w:val="00B50010"/>
    <w:rsid w:val="00B7088E"/>
    <w:rsid w:val="00BE1228"/>
    <w:rsid w:val="00C4033A"/>
    <w:rsid w:val="00C454D6"/>
    <w:rsid w:val="00C877FF"/>
    <w:rsid w:val="00CA289A"/>
    <w:rsid w:val="00CB0A9F"/>
    <w:rsid w:val="00CB56E3"/>
    <w:rsid w:val="00CC4ADF"/>
    <w:rsid w:val="00CD3CEE"/>
    <w:rsid w:val="00D50A10"/>
    <w:rsid w:val="00D70CBF"/>
    <w:rsid w:val="00D952DD"/>
    <w:rsid w:val="00D975FF"/>
    <w:rsid w:val="00DD71B0"/>
    <w:rsid w:val="00E14229"/>
    <w:rsid w:val="00E417F9"/>
    <w:rsid w:val="00E46DD6"/>
    <w:rsid w:val="00F40713"/>
    <w:rsid w:val="00F81271"/>
    <w:rsid w:val="00FA315E"/>
    <w:rsid w:val="00FA6776"/>
    <w:rsid w:val="00FB7792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2E6DE"/>
  <w15:chartTrackingRefBased/>
  <w15:docId w15:val="{82617C40-6397-4005-B77D-D4E37F3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56E3"/>
    <w:rPr>
      <w:color w:val="0000FF"/>
      <w:u w:val="single"/>
    </w:rPr>
  </w:style>
  <w:style w:type="paragraph" w:styleId="NoSpacing">
    <w:name w:val="No Spacing"/>
    <w:uiPriority w:val="1"/>
    <w:qFormat/>
    <w:rsid w:val="00CB56E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5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E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12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F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FA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0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0B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650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Verschoor, Vincent</dc:creator>
  <cp:keywords/>
  <cp:lastModifiedBy>Meinerz, Gabriela</cp:lastModifiedBy>
  <cp:revision>3</cp:revision>
  <cp:lastPrinted>2021-12-31T13:05:00Z</cp:lastPrinted>
  <dcterms:created xsi:type="dcterms:W3CDTF">2026-04-03T09:14:00Z</dcterms:created>
  <dcterms:modified xsi:type="dcterms:W3CDTF">2026-04-03T09:15:00Z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2026-04-03T09:14:58Z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98523814-1df0-46a4-89c5-fc6505740b4b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