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9FB8A" w14:textId="77777777" w:rsidR="00F339A3" w:rsidRDefault="00F339A3" w:rsidP="00880532">
      <w:pPr>
        <w:pStyle w:val="BLKCoverTitle"/>
        <w:rPr>
          <w:sz w:val="72"/>
          <w:szCs w:val="32"/>
          <w:lang w:val="en-GB"/>
        </w:rPr>
      </w:pPr>
      <w:r>
        <w:rPr>
          <w:sz w:val="72"/>
          <w:szCs w:val="32"/>
          <w:lang w:val="en-GB"/>
        </w:rPr>
        <w:t xml:space="preserve"> </w:t>
      </w:r>
    </w:p>
    <w:p w14:paraId="3C0BD0C9" w14:textId="77777777" w:rsidR="00115C60" w:rsidRDefault="00AA01DC" w:rsidP="00880532">
      <w:pPr>
        <w:pStyle w:val="BLKCoverTitle"/>
        <w:rPr>
          <w:sz w:val="72"/>
          <w:szCs w:val="32"/>
          <w:lang w:val="en-GB"/>
        </w:rPr>
      </w:pPr>
      <w:r w:rsidRPr="00AA01DC">
        <w:rPr>
          <w:sz w:val="72"/>
          <w:szCs w:val="32"/>
          <w:lang w:val="en-GB"/>
        </w:rPr>
        <w:t>Wolters Kluwer Holdings (UK) plc Final Salary Scheme</w:t>
      </w:r>
    </w:p>
    <w:p w14:paraId="7173D3D1" w14:textId="2C5592AD" w:rsidR="00880532" w:rsidRDefault="00B542BD" w:rsidP="00880532">
      <w:pPr>
        <w:pStyle w:val="BLKCoverTitle"/>
        <w:rPr>
          <w:sz w:val="72"/>
          <w:szCs w:val="32"/>
          <w:lang w:val="en-GB"/>
        </w:rPr>
      </w:pPr>
      <w:r>
        <w:rPr>
          <w:sz w:val="72"/>
          <w:szCs w:val="32"/>
          <w:lang w:val="en-GB"/>
        </w:rPr>
        <w:t xml:space="preserve">Engagement Policy </w:t>
      </w:r>
      <w:r w:rsidR="00F339A3">
        <w:rPr>
          <w:sz w:val="72"/>
          <w:szCs w:val="32"/>
          <w:lang w:val="en-GB"/>
        </w:rPr>
        <w:t>Implementation Statement</w:t>
      </w:r>
    </w:p>
    <w:p w14:paraId="0391EE58" w14:textId="080D9DE1" w:rsidR="00F339A3" w:rsidRPr="00F459D4" w:rsidRDefault="00E418C5" w:rsidP="00F339A3">
      <w:pPr>
        <w:pStyle w:val="BLKCoverSubtitle"/>
        <w:rPr>
          <w:lang w:val="en-GB"/>
        </w:rPr>
      </w:pPr>
      <w:r>
        <w:rPr>
          <w:lang w:val="en-GB"/>
        </w:rPr>
        <w:t xml:space="preserve">5 April </w:t>
      </w:r>
      <w:r w:rsidR="00ED127A">
        <w:rPr>
          <w:lang w:val="en-GB"/>
        </w:rPr>
        <w:t>202</w:t>
      </w:r>
      <w:r w:rsidR="00A00F08">
        <w:rPr>
          <w:lang w:val="en-GB"/>
        </w:rPr>
        <w:t>4</w:t>
      </w:r>
    </w:p>
    <w:p w14:paraId="10714B5C" w14:textId="77777777" w:rsidR="00F339A3" w:rsidRPr="00F339A3" w:rsidRDefault="00F339A3" w:rsidP="00F339A3">
      <w:pPr>
        <w:pStyle w:val="BLKCoverSubtitle"/>
        <w:rPr>
          <w:lang w:val="en-GB"/>
        </w:rPr>
      </w:pPr>
    </w:p>
    <w:p w14:paraId="6564D466" w14:textId="77777777" w:rsidR="00880532" w:rsidRDefault="00880532" w:rsidP="00880532">
      <w:pPr>
        <w:pStyle w:val="BLKCoverSubtitle"/>
        <w:rPr>
          <w:rFonts w:ascii="BLK Fort Extrabold" w:hAnsi="BLK Fort Extrabold"/>
          <w:color w:val="FF4713" w:themeColor="accent1"/>
          <w:lang w:val="en-GB"/>
        </w:rPr>
      </w:pPr>
    </w:p>
    <w:p w14:paraId="68352DEF" w14:textId="0C8CDEAA" w:rsidR="00F339A3" w:rsidRDefault="00F339A3" w:rsidP="00880532">
      <w:pPr>
        <w:pStyle w:val="BLKCoverTitle"/>
        <w:rPr>
          <w:rFonts w:asciiTheme="minorHAnsi" w:hAnsiTheme="minorHAnsi"/>
          <w:sz w:val="22"/>
          <w:szCs w:val="22"/>
          <w:lang w:val="en-GB"/>
        </w:rPr>
      </w:pPr>
    </w:p>
    <w:p w14:paraId="60FD0965" w14:textId="7C0905B6" w:rsidR="00880532" w:rsidRPr="007F7182" w:rsidRDefault="00880532" w:rsidP="00115C60">
      <w:pPr>
        <w:pStyle w:val="BLKCoverTitle"/>
        <w:numPr>
          <w:ilvl w:val="0"/>
          <w:numId w:val="5"/>
        </w:numPr>
        <w:tabs>
          <w:tab w:val="left" w:pos="2855"/>
        </w:tabs>
        <w:spacing w:before="0"/>
        <w:rPr>
          <w:rFonts w:asciiTheme="minorHAnsi" w:hAnsiTheme="minorHAnsi"/>
          <w:b/>
          <w:bCs/>
          <w:sz w:val="20"/>
          <w:szCs w:val="20"/>
          <w:lang w:val="en-GB"/>
        </w:rPr>
      </w:pPr>
      <w:r w:rsidRPr="007F7182">
        <w:rPr>
          <w:rFonts w:asciiTheme="minorHAnsi" w:hAnsiTheme="minorHAnsi"/>
          <w:b/>
          <w:bCs/>
          <w:sz w:val="20"/>
          <w:szCs w:val="20"/>
          <w:lang w:val="en-GB"/>
        </w:rPr>
        <w:lastRenderedPageBreak/>
        <w:t>Introduction</w:t>
      </w:r>
      <w:r w:rsidR="00333CF0" w:rsidRPr="007F7182">
        <w:rPr>
          <w:rFonts w:asciiTheme="minorHAnsi" w:hAnsiTheme="minorHAnsi"/>
          <w:b/>
          <w:bCs/>
          <w:sz w:val="20"/>
          <w:szCs w:val="20"/>
          <w:lang w:val="en-GB"/>
        </w:rPr>
        <w:t xml:space="preserve"> </w:t>
      </w:r>
      <w:r w:rsidR="00F339A3" w:rsidRPr="007F7182">
        <w:rPr>
          <w:rFonts w:asciiTheme="minorHAnsi" w:hAnsiTheme="minorHAnsi"/>
          <w:b/>
          <w:bCs/>
          <w:sz w:val="20"/>
          <w:szCs w:val="20"/>
          <w:lang w:val="en-GB"/>
        </w:rPr>
        <w:tab/>
      </w:r>
    </w:p>
    <w:p w14:paraId="4165E2E2" w14:textId="77777777" w:rsidR="00877E81" w:rsidRPr="00AC7ADF" w:rsidRDefault="00877E81" w:rsidP="00877E81">
      <w:pPr>
        <w:pStyle w:val="BLKCoverSubtitle"/>
        <w:ind w:left="360"/>
        <w:rPr>
          <w:rFonts w:asciiTheme="minorHAnsi" w:hAnsiTheme="minorHAnsi"/>
          <w:sz w:val="20"/>
          <w:szCs w:val="20"/>
        </w:rPr>
      </w:pPr>
      <w:r w:rsidRPr="004E061D">
        <w:rPr>
          <w:rFonts w:asciiTheme="minorHAnsi" w:hAnsiTheme="minorHAnsi"/>
          <w:sz w:val="20"/>
          <w:szCs w:val="20"/>
        </w:rPr>
        <w:t xml:space="preserve">Under </w:t>
      </w:r>
      <w:r w:rsidRPr="00AC7ADF">
        <w:rPr>
          <w:rFonts w:asciiTheme="minorHAnsi" w:hAnsiTheme="minorHAnsi"/>
          <w:sz w:val="20"/>
          <w:szCs w:val="20"/>
        </w:rPr>
        <w:t xml:space="preserve">the Occupational Pension Schemes (Investment and Disclosure) (Amendment) Regulations 2019, the </w:t>
      </w:r>
      <w:r>
        <w:rPr>
          <w:rFonts w:asciiTheme="minorHAnsi" w:hAnsiTheme="minorHAnsi"/>
          <w:sz w:val="20"/>
          <w:szCs w:val="20"/>
        </w:rPr>
        <w:t xml:space="preserve">Trustee is </w:t>
      </w:r>
      <w:r w:rsidRPr="00AC7ADF">
        <w:rPr>
          <w:rFonts w:asciiTheme="minorHAnsi" w:hAnsiTheme="minorHAnsi"/>
          <w:sz w:val="20"/>
          <w:szCs w:val="20"/>
        </w:rPr>
        <w:t>required to produce an annual Engagement Policy Implementation Statement (“EPIS”)</w:t>
      </w:r>
      <w:r>
        <w:rPr>
          <w:rFonts w:asciiTheme="minorHAnsi" w:hAnsiTheme="minorHAnsi"/>
          <w:sz w:val="20"/>
          <w:szCs w:val="20"/>
        </w:rPr>
        <w:t xml:space="preserve">. This statement outlines how, and the extent to which, </w:t>
      </w:r>
      <w:r w:rsidRPr="00AC7ADF">
        <w:rPr>
          <w:rFonts w:asciiTheme="minorHAnsi" w:hAnsiTheme="minorHAnsi"/>
          <w:sz w:val="20"/>
          <w:szCs w:val="20"/>
        </w:rPr>
        <w:t xml:space="preserve">the policies relating </w:t>
      </w:r>
      <w:r>
        <w:rPr>
          <w:rFonts w:asciiTheme="minorHAnsi" w:hAnsiTheme="minorHAnsi"/>
          <w:sz w:val="20"/>
          <w:szCs w:val="20"/>
        </w:rPr>
        <w:t xml:space="preserve">to </w:t>
      </w:r>
      <w:r w:rsidRPr="00AC7ADF">
        <w:rPr>
          <w:rFonts w:asciiTheme="minorHAnsi" w:hAnsiTheme="minorHAnsi"/>
          <w:sz w:val="20"/>
          <w:szCs w:val="20"/>
        </w:rPr>
        <w:t xml:space="preserve">stewardship, voting and engagement as outlined in the Statement of Investment Principles (“SIP”) have been followed. </w:t>
      </w:r>
    </w:p>
    <w:p w14:paraId="7CBDC3DA" w14:textId="0D6E6442" w:rsidR="00877E81" w:rsidRDefault="00877E81" w:rsidP="00877E81">
      <w:pPr>
        <w:pStyle w:val="BLKCoverSubtitle"/>
        <w:ind w:left="360"/>
        <w:rPr>
          <w:rFonts w:asciiTheme="minorHAnsi" w:hAnsiTheme="minorHAnsi"/>
          <w:sz w:val="20"/>
          <w:szCs w:val="20"/>
        </w:rPr>
      </w:pPr>
      <w:r w:rsidRPr="00AC7ADF">
        <w:rPr>
          <w:rFonts w:asciiTheme="minorHAnsi" w:hAnsiTheme="minorHAnsi"/>
          <w:sz w:val="20"/>
          <w:szCs w:val="20"/>
        </w:rPr>
        <w:t xml:space="preserve">This statement covers the Scheme’s accounting year to </w:t>
      </w:r>
      <w:r w:rsidR="00E418C5">
        <w:rPr>
          <w:rFonts w:asciiTheme="minorHAnsi" w:hAnsiTheme="minorHAnsi"/>
          <w:sz w:val="20"/>
          <w:szCs w:val="20"/>
        </w:rPr>
        <w:t xml:space="preserve">5 April </w:t>
      </w:r>
      <w:r w:rsidR="00ED127A">
        <w:rPr>
          <w:rFonts w:asciiTheme="minorHAnsi" w:hAnsiTheme="minorHAnsi"/>
          <w:sz w:val="20"/>
          <w:szCs w:val="20"/>
        </w:rPr>
        <w:t>202</w:t>
      </w:r>
      <w:r w:rsidR="00A00F08">
        <w:rPr>
          <w:rFonts w:asciiTheme="minorHAnsi" w:hAnsiTheme="minorHAnsi"/>
          <w:sz w:val="20"/>
          <w:szCs w:val="20"/>
        </w:rPr>
        <w:t>4</w:t>
      </w:r>
      <w:r w:rsidRPr="00AC7ADF">
        <w:rPr>
          <w:rFonts w:asciiTheme="minorHAnsi" w:hAnsiTheme="minorHAnsi"/>
          <w:sz w:val="20"/>
          <w:szCs w:val="20"/>
        </w:rPr>
        <w:t xml:space="preserve">. It is intended to meet the updated regulations and will be included in the </w:t>
      </w:r>
      <w:r>
        <w:rPr>
          <w:rFonts w:asciiTheme="minorHAnsi" w:hAnsiTheme="minorHAnsi"/>
          <w:sz w:val="20"/>
          <w:szCs w:val="20"/>
        </w:rPr>
        <w:t>Scheme’s</w:t>
      </w:r>
      <w:r w:rsidRPr="00AC7ADF">
        <w:rPr>
          <w:rFonts w:asciiTheme="minorHAnsi" w:hAnsiTheme="minorHAnsi"/>
          <w:sz w:val="20"/>
          <w:szCs w:val="20"/>
        </w:rPr>
        <w:t xml:space="preserve"> Report &amp; Accounts. In preparing this statement, the </w:t>
      </w:r>
      <w:r>
        <w:rPr>
          <w:rFonts w:asciiTheme="minorHAnsi" w:hAnsiTheme="minorHAnsi"/>
          <w:sz w:val="20"/>
          <w:szCs w:val="20"/>
        </w:rPr>
        <w:t xml:space="preserve">Trustee has </w:t>
      </w:r>
      <w:r w:rsidRPr="00AC7ADF">
        <w:rPr>
          <w:rFonts w:asciiTheme="minorHAnsi" w:hAnsiTheme="minorHAnsi"/>
          <w:sz w:val="20"/>
          <w:szCs w:val="20"/>
        </w:rPr>
        <w:t xml:space="preserve">taken advice from </w:t>
      </w:r>
      <w:r>
        <w:rPr>
          <w:rFonts w:asciiTheme="minorHAnsi" w:hAnsiTheme="minorHAnsi"/>
          <w:sz w:val="20"/>
          <w:szCs w:val="20"/>
        </w:rPr>
        <w:t>their</w:t>
      </w:r>
      <w:r w:rsidRPr="00AC7ADF">
        <w:rPr>
          <w:rFonts w:asciiTheme="minorHAnsi" w:hAnsiTheme="minorHAnsi"/>
          <w:sz w:val="20"/>
          <w:szCs w:val="20"/>
        </w:rPr>
        <w:t xml:space="preserve"> professional advisers</w:t>
      </w:r>
      <w:r>
        <w:rPr>
          <w:rFonts w:asciiTheme="minorHAnsi" w:hAnsiTheme="minorHAnsi"/>
          <w:sz w:val="20"/>
          <w:szCs w:val="20"/>
        </w:rPr>
        <w:t>.</w:t>
      </w:r>
      <w:r w:rsidRPr="00274792">
        <w:rPr>
          <w:rFonts w:asciiTheme="minorHAnsi" w:hAnsiTheme="minorHAnsi"/>
          <w:sz w:val="20"/>
          <w:szCs w:val="20"/>
        </w:rPr>
        <w:t xml:space="preserve"> </w:t>
      </w:r>
    </w:p>
    <w:p w14:paraId="170F748A" w14:textId="69123EC7" w:rsidR="00877E81" w:rsidRPr="00874BAA" w:rsidRDefault="00877E81" w:rsidP="00877E81">
      <w:pPr>
        <w:pStyle w:val="BLKCoverSubtitle"/>
        <w:ind w:left="360"/>
        <w:rPr>
          <w:rFonts w:asciiTheme="minorHAnsi" w:hAnsiTheme="minorHAnsi"/>
          <w:sz w:val="20"/>
          <w:szCs w:val="20"/>
        </w:rPr>
      </w:pPr>
      <w:r>
        <w:rPr>
          <w:rFonts w:asciiTheme="minorHAnsi" w:hAnsiTheme="minorHAnsi"/>
          <w:sz w:val="20"/>
          <w:szCs w:val="20"/>
        </w:rPr>
        <w:t>This statement details some of the activities taken by the Trustee, the</w:t>
      </w:r>
      <w:r w:rsidR="002A62A2">
        <w:rPr>
          <w:rFonts w:asciiTheme="minorHAnsi" w:hAnsiTheme="minorHAnsi"/>
          <w:sz w:val="20"/>
          <w:szCs w:val="20"/>
        </w:rPr>
        <w:t xml:space="preserve"> </w:t>
      </w:r>
      <w:r>
        <w:rPr>
          <w:rFonts w:asciiTheme="minorHAnsi" w:hAnsiTheme="minorHAnsi"/>
          <w:sz w:val="20"/>
          <w:szCs w:val="20"/>
        </w:rPr>
        <w:t>Manager and the investment managers during the period, including voting statistics, and provides the Trustee’s opinion on the stewardship activities over the period.</w:t>
      </w:r>
    </w:p>
    <w:p w14:paraId="089D7E01" w14:textId="7BCCE25B" w:rsidR="00F83340" w:rsidRPr="00A8404A" w:rsidRDefault="00AC7ADF" w:rsidP="004E061D">
      <w:pPr>
        <w:pStyle w:val="BLKCoverDate"/>
        <w:numPr>
          <w:ilvl w:val="0"/>
          <w:numId w:val="5"/>
        </w:numPr>
        <w:rPr>
          <w:rFonts w:asciiTheme="minorHAnsi" w:hAnsiTheme="minorHAnsi"/>
          <w:b/>
          <w:bCs/>
          <w:color w:val="FF4713" w:themeColor="accent1"/>
          <w:lang w:val="en-GB"/>
        </w:rPr>
      </w:pPr>
      <w:r w:rsidRPr="00A8404A">
        <w:rPr>
          <w:rFonts w:asciiTheme="minorHAnsi" w:hAnsiTheme="minorHAnsi"/>
          <w:b/>
          <w:bCs/>
          <w:color w:val="FF4713" w:themeColor="accent1"/>
          <w:lang w:val="en-GB"/>
        </w:rPr>
        <w:t xml:space="preserve">Policies </w:t>
      </w:r>
    </w:p>
    <w:p w14:paraId="67B52D7A" w14:textId="3C822C98" w:rsidR="006121FA" w:rsidRDefault="00877E81" w:rsidP="00877E81">
      <w:pPr>
        <w:pStyle w:val="BLKCoverDate"/>
        <w:ind w:left="360"/>
        <w:rPr>
          <w:rFonts w:asciiTheme="minorHAnsi" w:hAnsiTheme="minorHAnsi"/>
          <w:lang w:val="en-GB"/>
        </w:rPr>
      </w:pPr>
      <w:r>
        <w:rPr>
          <w:rFonts w:asciiTheme="minorHAnsi" w:hAnsiTheme="minorHAnsi"/>
          <w:lang w:val="en-GB"/>
        </w:rPr>
        <w:t xml:space="preserve">The Trustee’s relevant policies regarding stewardship, voting and engagement are outlined in the SIP. The most recent version of the SIP is publicly available being published online and will be updated from time-to-time. </w:t>
      </w:r>
    </w:p>
    <w:p w14:paraId="72A3A578" w14:textId="77777777" w:rsidR="006121FA" w:rsidRDefault="00877E81" w:rsidP="006121FA">
      <w:pPr>
        <w:pStyle w:val="BLKCoverDate"/>
        <w:ind w:left="360"/>
        <w:rPr>
          <w:rFonts w:asciiTheme="minorHAnsi" w:hAnsiTheme="minorHAnsi"/>
          <w:lang w:val="en-GB"/>
        </w:rPr>
      </w:pPr>
      <w:r>
        <w:rPr>
          <w:rFonts w:asciiTheme="minorHAnsi" w:hAnsiTheme="minorHAnsi"/>
        </w:rPr>
        <w:t>T</w:t>
      </w:r>
      <w:r w:rsidRPr="00AC7ADF">
        <w:rPr>
          <w:rFonts w:asciiTheme="minorHAnsi" w:hAnsiTheme="minorHAnsi"/>
        </w:rPr>
        <w:t xml:space="preserve">he </w:t>
      </w:r>
      <w:r>
        <w:rPr>
          <w:rFonts w:asciiTheme="minorHAnsi" w:hAnsiTheme="minorHAnsi"/>
        </w:rPr>
        <w:t xml:space="preserve">Trustee has </w:t>
      </w:r>
      <w:r w:rsidRPr="00AC7ADF">
        <w:rPr>
          <w:rFonts w:asciiTheme="minorHAnsi" w:hAnsiTheme="minorHAnsi"/>
        </w:rPr>
        <w:t xml:space="preserve">appointed BlackRock as the adviser and Fiduciary Manager (“the Manager”) </w:t>
      </w:r>
      <w:r w:rsidR="00E60B07">
        <w:rPr>
          <w:rFonts w:asciiTheme="minorHAnsi" w:hAnsiTheme="minorHAnsi"/>
        </w:rPr>
        <w:t>for</w:t>
      </w:r>
      <w:r w:rsidR="00E60B07" w:rsidRPr="00AC7ADF">
        <w:rPr>
          <w:rFonts w:asciiTheme="minorHAnsi" w:hAnsiTheme="minorHAnsi"/>
        </w:rPr>
        <w:t xml:space="preserve"> </w:t>
      </w:r>
      <w:r w:rsidRPr="00AC7ADF">
        <w:rPr>
          <w:rFonts w:asciiTheme="minorHAnsi" w:hAnsiTheme="minorHAnsi"/>
        </w:rPr>
        <w:t>the Scheme. The Trustee delegate</w:t>
      </w:r>
      <w:r>
        <w:rPr>
          <w:rFonts w:asciiTheme="minorHAnsi" w:hAnsiTheme="minorHAnsi"/>
        </w:rPr>
        <w:t>s</w:t>
      </w:r>
      <w:r w:rsidRPr="00AC7ADF">
        <w:rPr>
          <w:rFonts w:asciiTheme="minorHAnsi" w:hAnsiTheme="minorHAnsi"/>
        </w:rPr>
        <w:t xml:space="preserve"> the day-to-day investment decisions and asset allocation to the Manager. The Trustee retain</w:t>
      </w:r>
      <w:r>
        <w:rPr>
          <w:rFonts w:asciiTheme="minorHAnsi" w:hAnsiTheme="minorHAnsi"/>
        </w:rPr>
        <w:t>s</w:t>
      </w:r>
      <w:r w:rsidRPr="00AC7ADF">
        <w:rPr>
          <w:rFonts w:asciiTheme="minorHAnsi" w:hAnsiTheme="minorHAnsi"/>
        </w:rPr>
        <w:t xml:space="preserve"> responsibility for the strategic investment objective and oversight of the Manager.</w:t>
      </w:r>
      <w:r w:rsidR="007B62B4" w:rsidRPr="007B62B4">
        <w:rPr>
          <w:rFonts w:asciiTheme="minorHAnsi" w:hAnsiTheme="minorHAnsi"/>
          <w:lang w:val="en-GB"/>
        </w:rPr>
        <w:t xml:space="preserve"> </w:t>
      </w:r>
    </w:p>
    <w:p w14:paraId="0CA90DB3" w14:textId="68F5A17A" w:rsidR="007B62B4" w:rsidRPr="0040770B" w:rsidRDefault="007B62B4" w:rsidP="0040770B">
      <w:pPr>
        <w:pStyle w:val="BLKCoverDate"/>
        <w:ind w:left="360"/>
        <w:rPr>
          <w:rFonts w:asciiTheme="minorHAnsi" w:hAnsiTheme="minorHAnsi"/>
          <w:lang w:val="en-GB"/>
        </w:rPr>
      </w:pPr>
      <w:r>
        <w:rPr>
          <w:rFonts w:asciiTheme="minorHAnsi" w:hAnsiTheme="minorHAnsi"/>
          <w:lang w:val="en-GB"/>
        </w:rPr>
        <w:t xml:space="preserve">The Trustee notes the “Guidance issued by the DWP relating to </w:t>
      </w:r>
      <w:r w:rsidRPr="0011531C">
        <w:rPr>
          <w:rFonts w:asciiTheme="minorHAnsi" w:hAnsiTheme="minorHAnsi"/>
          <w:lang w:val="en-GB"/>
        </w:rPr>
        <w:t>Reporting on Stewardship and Other Topics through the Statement of Investment Principles and the Implementation Statement</w:t>
      </w:r>
      <w:r>
        <w:rPr>
          <w:rFonts w:asciiTheme="minorHAnsi" w:hAnsiTheme="minorHAnsi"/>
          <w:lang w:val="en-GB"/>
        </w:rPr>
        <w:t xml:space="preserve">” in July 2022. </w:t>
      </w:r>
      <w:r w:rsidR="006121FA">
        <w:rPr>
          <w:rFonts w:asciiTheme="minorHAnsi" w:hAnsiTheme="minorHAnsi"/>
          <w:lang w:val="en-GB"/>
        </w:rPr>
        <w:t xml:space="preserve">Going forwards, </w:t>
      </w:r>
      <w:r w:rsidR="006121FA" w:rsidRPr="00BB0039">
        <w:rPr>
          <w:rFonts w:asciiTheme="minorHAnsi" w:hAnsiTheme="minorHAnsi"/>
          <w:lang w:val="en-GB"/>
        </w:rPr>
        <w:t>the Trustee plans to develop its policies and build more elements of this guidance into future iterations of this statement.</w:t>
      </w:r>
    </w:p>
    <w:p w14:paraId="0B727C5C" w14:textId="6814BE1C" w:rsidR="00877E81" w:rsidRDefault="00877E81" w:rsidP="00A00F08">
      <w:pPr>
        <w:pStyle w:val="BLKCoverDate"/>
        <w:ind w:left="360"/>
        <w:rPr>
          <w:rFonts w:asciiTheme="minorHAnsi" w:hAnsiTheme="minorHAnsi"/>
          <w:lang w:val="en-GB"/>
        </w:rPr>
      </w:pPr>
      <w:r>
        <w:rPr>
          <w:rFonts w:asciiTheme="minorHAnsi" w:hAnsiTheme="minorHAnsi"/>
          <w:lang w:val="en-GB"/>
        </w:rPr>
        <w:t xml:space="preserve">During the year to </w:t>
      </w:r>
      <w:r w:rsidR="00E418C5">
        <w:rPr>
          <w:rFonts w:asciiTheme="minorHAnsi" w:hAnsiTheme="minorHAnsi"/>
          <w:lang w:val="en-GB"/>
        </w:rPr>
        <w:t xml:space="preserve">5 April </w:t>
      </w:r>
      <w:r w:rsidR="00ED127A">
        <w:rPr>
          <w:rFonts w:asciiTheme="minorHAnsi" w:hAnsiTheme="minorHAnsi"/>
          <w:lang w:val="en-GB"/>
        </w:rPr>
        <w:t>202</w:t>
      </w:r>
      <w:r w:rsidR="00A00F08">
        <w:rPr>
          <w:rFonts w:asciiTheme="minorHAnsi" w:hAnsiTheme="minorHAnsi"/>
          <w:lang w:val="en-GB"/>
        </w:rPr>
        <w:t>4</w:t>
      </w:r>
      <w:r w:rsidRPr="004E061D">
        <w:rPr>
          <w:rFonts w:asciiTheme="minorHAnsi" w:hAnsiTheme="minorHAnsi"/>
          <w:lang w:val="en-GB"/>
        </w:rPr>
        <w:t xml:space="preserve"> the </w:t>
      </w:r>
      <w:r>
        <w:rPr>
          <w:rFonts w:asciiTheme="minorHAnsi" w:hAnsiTheme="minorHAnsi"/>
          <w:lang w:val="en-GB"/>
        </w:rPr>
        <w:t>Trustee</w:t>
      </w:r>
      <w:r w:rsidRPr="004E061D">
        <w:rPr>
          <w:rFonts w:asciiTheme="minorHAnsi" w:hAnsiTheme="minorHAnsi"/>
          <w:lang w:val="en-GB"/>
        </w:rPr>
        <w:t xml:space="preserve"> </w:t>
      </w:r>
      <w:r w:rsidR="00A00F08">
        <w:rPr>
          <w:rFonts w:asciiTheme="minorHAnsi" w:hAnsiTheme="minorHAnsi"/>
          <w:lang w:val="en-GB"/>
        </w:rPr>
        <w:t xml:space="preserve">updated the SIP in </w:t>
      </w:r>
      <w:r w:rsidR="000D7B65">
        <w:rPr>
          <w:rFonts w:asciiTheme="minorHAnsi" w:hAnsiTheme="minorHAnsi"/>
          <w:lang w:val="en-GB"/>
        </w:rPr>
        <w:t>July</w:t>
      </w:r>
      <w:r w:rsidR="00A00F08">
        <w:rPr>
          <w:rFonts w:asciiTheme="minorHAnsi" w:hAnsiTheme="minorHAnsi"/>
          <w:lang w:val="en-GB"/>
        </w:rPr>
        <w:t xml:space="preserve"> 2023.</w:t>
      </w:r>
      <w:r>
        <w:rPr>
          <w:rFonts w:asciiTheme="minorHAnsi" w:hAnsiTheme="minorHAnsi"/>
          <w:lang w:val="en-GB"/>
        </w:rPr>
        <w:t xml:space="preserve"> </w:t>
      </w:r>
      <w:r w:rsidR="00A00F08">
        <w:rPr>
          <w:rFonts w:asciiTheme="minorHAnsi" w:hAnsiTheme="minorHAnsi"/>
          <w:lang w:val="en-GB"/>
        </w:rPr>
        <w:t>A</w:t>
      </w:r>
      <w:r>
        <w:rPr>
          <w:rFonts w:asciiTheme="minorHAnsi" w:hAnsiTheme="minorHAnsi"/>
          <w:lang w:val="en-GB"/>
        </w:rPr>
        <w:t xml:space="preserve">s such the policies contained in the </w:t>
      </w:r>
      <w:r w:rsidR="001557BF">
        <w:rPr>
          <w:rFonts w:asciiTheme="minorHAnsi" w:hAnsiTheme="minorHAnsi"/>
          <w:lang w:val="en-GB"/>
        </w:rPr>
        <w:t>July</w:t>
      </w:r>
      <w:r w:rsidR="00E418C5">
        <w:rPr>
          <w:rFonts w:asciiTheme="minorHAnsi" w:hAnsiTheme="minorHAnsi"/>
          <w:lang w:val="en-GB"/>
        </w:rPr>
        <w:t xml:space="preserve"> </w:t>
      </w:r>
      <w:r>
        <w:rPr>
          <w:rFonts w:asciiTheme="minorHAnsi" w:hAnsiTheme="minorHAnsi"/>
          <w:lang w:val="en-GB"/>
        </w:rPr>
        <w:t>202</w:t>
      </w:r>
      <w:r w:rsidR="00A00F08">
        <w:rPr>
          <w:rFonts w:asciiTheme="minorHAnsi" w:hAnsiTheme="minorHAnsi"/>
          <w:lang w:val="en-GB"/>
        </w:rPr>
        <w:t>3</w:t>
      </w:r>
      <w:r>
        <w:rPr>
          <w:rFonts w:asciiTheme="minorHAnsi" w:hAnsiTheme="minorHAnsi"/>
          <w:lang w:val="en-GB"/>
        </w:rPr>
        <w:t xml:space="preserve"> SIP are those which are relevant to this Statement</w:t>
      </w:r>
      <w:r w:rsidR="006121FA">
        <w:rPr>
          <w:rFonts w:asciiTheme="minorHAnsi" w:hAnsiTheme="minorHAnsi"/>
          <w:lang w:val="en-GB"/>
        </w:rPr>
        <w:t xml:space="preserve">, which can be accessed online.  </w:t>
      </w:r>
    </w:p>
    <w:p w14:paraId="526B8B30" w14:textId="77777777" w:rsidR="00877E81" w:rsidRPr="00A8404A" w:rsidRDefault="00877E81" w:rsidP="00877E81">
      <w:pPr>
        <w:pStyle w:val="BLKCoverDate"/>
        <w:numPr>
          <w:ilvl w:val="0"/>
          <w:numId w:val="5"/>
        </w:numPr>
        <w:spacing w:before="240"/>
        <w:rPr>
          <w:rFonts w:asciiTheme="minorHAnsi" w:hAnsiTheme="minorHAnsi"/>
          <w:b/>
          <w:bCs/>
          <w:color w:val="FF4713" w:themeColor="accent1"/>
        </w:rPr>
      </w:pPr>
      <w:r w:rsidRPr="00A8404A">
        <w:rPr>
          <w:rFonts w:asciiTheme="minorHAnsi" w:hAnsiTheme="minorHAnsi"/>
          <w:b/>
          <w:bCs/>
          <w:color w:val="FF4713" w:themeColor="accent1"/>
        </w:rPr>
        <w:t xml:space="preserve">Scope of this statement </w:t>
      </w:r>
    </w:p>
    <w:p w14:paraId="02C79957" w14:textId="517908CC" w:rsidR="00877E81" w:rsidRDefault="00877E81" w:rsidP="00877E81">
      <w:pPr>
        <w:pStyle w:val="BLKCoverDate"/>
        <w:ind w:left="357"/>
      </w:pPr>
      <w:r>
        <w:rPr>
          <w:rFonts w:asciiTheme="minorHAnsi" w:eastAsiaTheme="minorHAnsi" w:hAnsiTheme="minorHAnsi"/>
          <w:color w:val="auto"/>
        </w:rPr>
        <w:t xml:space="preserve">The Trustee acknowledges that the extent to which the policies in relation to stewardship, voting and engagement can be applied varies across the portfolio. </w:t>
      </w:r>
      <w:r>
        <w:rPr>
          <w:rFonts w:asciiTheme="minorHAnsi" w:hAnsiTheme="minorHAnsi" w:cs="Calibri"/>
          <w:lang w:val="en-GB"/>
        </w:rPr>
        <w:t>For example, in general, voting rights are not attached to fixed income securities, while the applicability to the LDI</w:t>
      </w:r>
      <w:r w:rsidR="007B62B4">
        <w:rPr>
          <w:rFonts w:asciiTheme="minorHAnsi" w:hAnsiTheme="minorHAnsi" w:cs="Calibri"/>
          <w:lang w:val="en-GB"/>
        </w:rPr>
        <w:t xml:space="preserve"> </w:t>
      </w:r>
      <w:r w:rsidR="007B62B4" w:rsidRPr="0055203A">
        <w:rPr>
          <w:rFonts w:asciiTheme="minorHAnsi" w:hAnsiTheme="minorHAnsi" w:cs="Calibri"/>
          <w:lang w:val="en-GB"/>
        </w:rPr>
        <w:t>(liability-driven investment)</w:t>
      </w:r>
      <w:r>
        <w:rPr>
          <w:rFonts w:asciiTheme="minorHAnsi" w:hAnsiTheme="minorHAnsi" w:cs="Calibri"/>
          <w:lang w:val="en-GB"/>
        </w:rPr>
        <w:t xml:space="preserve"> portfolio is limited.  Nonetheless, the Trustee and the Manager expect all investment managers to take an active role in the stewardship of investments where relevant. </w:t>
      </w:r>
    </w:p>
    <w:p w14:paraId="3E525D79" w14:textId="77777777" w:rsidR="00877E81" w:rsidRPr="00A8404A" w:rsidRDefault="00877E81" w:rsidP="00877E81">
      <w:pPr>
        <w:pStyle w:val="BLKCoverDate"/>
        <w:numPr>
          <w:ilvl w:val="0"/>
          <w:numId w:val="5"/>
        </w:numPr>
        <w:spacing w:before="240"/>
        <w:rPr>
          <w:rFonts w:asciiTheme="minorHAnsi" w:hAnsiTheme="minorHAnsi"/>
          <w:b/>
          <w:bCs/>
          <w:color w:val="FF4713" w:themeColor="accent1"/>
        </w:rPr>
      </w:pPr>
      <w:r w:rsidRPr="00A8404A">
        <w:rPr>
          <w:rFonts w:asciiTheme="minorHAnsi" w:hAnsiTheme="minorHAnsi"/>
          <w:b/>
          <w:bCs/>
          <w:color w:val="FF4713" w:themeColor="accent1"/>
        </w:rPr>
        <w:t xml:space="preserve">Scheme activity </w:t>
      </w:r>
    </w:p>
    <w:p w14:paraId="78D8ADA4" w14:textId="61614BDE" w:rsidR="00877E81" w:rsidRDefault="00877E81" w:rsidP="00877E81">
      <w:pPr>
        <w:spacing w:after="120"/>
        <w:ind w:left="360"/>
        <w:jc w:val="both"/>
        <w:rPr>
          <w:sz w:val="20"/>
          <w:szCs w:val="20"/>
        </w:rPr>
      </w:pPr>
      <w:r w:rsidRPr="004E061D">
        <w:rPr>
          <w:sz w:val="20"/>
          <w:szCs w:val="20"/>
        </w:rPr>
        <w:t xml:space="preserve">The SIP includes the </w:t>
      </w:r>
      <w:r>
        <w:rPr>
          <w:sz w:val="20"/>
          <w:szCs w:val="20"/>
        </w:rPr>
        <w:t>Trustee’s</w:t>
      </w:r>
      <w:r w:rsidRPr="004E061D">
        <w:rPr>
          <w:sz w:val="20"/>
          <w:szCs w:val="20"/>
        </w:rPr>
        <w:t xml:space="preserve"> policy on Environmental, Social and Governance (</w:t>
      </w:r>
      <w:r>
        <w:rPr>
          <w:sz w:val="20"/>
          <w:szCs w:val="20"/>
        </w:rPr>
        <w:t>“</w:t>
      </w:r>
      <w:r w:rsidRPr="004E061D">
        <w:rPr>
          <w:sz w:val="20"/>
          <w:szCs w:val="20"/>
        </w:rPr>
        <w:t>ESG</w:t>
      </w:r>
      <w:r>
        <w:rPr>
          <w:sz w:val="20"/>
          <w:szCs w:val="20"/>
        </w:rPr>
        <w:t>”</w:t>
      </w:r>
      <w:r w:rsidRPr="004E061D">
        <w:rPr>
          <w:sz w:val="20"/>
          <w:szCs w:val="20"/>
        </w:rPr>
        <w:t>) factors</w:t>
      </w:r>
      <w:r w:rsidRPr="007F7182">
        <w:rPr>
          <w:sz w:val="20"/>
          <w:szCs w:val="20"/>
        </w:rPr>
        <w:t xml:space="preserve"> and </w:t>
      </w:r>
      <w:r w:rsidRPr="004E061D">
        <w:rPr>
          <w:sz w:val="20"/>
          <w:szCs w:val="20"/>
        </w:rPr>
        <w:t xml:space="preserve">stewardship.  This policy sets out the </w:t>
      </w:r>
      <w:r>
        <w:rPr>
          <w:sz w:val="20"/>
          <w:szCs w:val="20"/>
        </w:rPr>
        <w:t>Trustee’s</w:t>
      </w:r>
      <w:r w:rsidRPr="004E061D">
        <w:rPr>
          <w:sz w:val="20"/>
          <w:szCs w:val="20"/>
        </w:rPr>
        <w:t xml:space="preserve"> beliefs on ESG and the processes followed by the </w:t>
      </w:r>
      <w:r>
        <w:rPr>
          <w:sz w:val="20"/>
          <w:szCs w:val="20"/>
        </w:rPr>
        <w:t>Trustee</w:t>
      </w:r>
      <w:r w:rsidRPr="004E061D">
        <w:rPr>
          <w:sz w:val="20"/>
          <w:szCs w:val="20"/>
        </w:rPr>
        <w:t xml:space="preserve"> in relation to voting rights and stewardship. </w:t>
      </w:r>
    </w:p>
    <w:p w14:paraId="13A0A15E" w14:textId="4993E926" w:rsidR="00877E81" w:rsidRPr="007F7182" w:rsidRDefault="00BF4B14" w:rsidP="00877E81">
      <w:pPr>
        <w:spacing w:after="120"/>
        <w:ind w:left="360"/>
        <w:jc w:val="both"/>
        <w:rPr>
          <w:sz w:val="20"/>
          <w:szCs w:val="20"/>
        </w:rPr>
      </w:pPr>
      <w:r>
        <w:rPr>
          <w:sz w:val="20"/>
          <w:szCs w:val="20"/>
        </w:rPr>
        <w:t>The</w:t>
      </w:r>
      <w:r w:rsidR="00877E81" w:rsidRPr="005B26A6">
        <w:rPr>
          <w:sz w:val="20"/>
          <w:szCs w:val="20"/>
        </w:rPr>
        <w:t xml:space="preserve"> Trustee recognises</w:t>
      </w:r>
      <w:r w:rsidR="00877E81">
        <w:rPr>
          <w:sz w:val="20"/>
          <w:szCs w:val="20"/>
        </w:rPr>
        <w:t xml:space="preserve"> that the Manager is engaging with the underlying managers to ensure they work to further improve their ESG policies and actions over time. </w:t>
      </w:r>
      <w:r w:rsidR="00877E81" w:rsidRPr="007F7182">
        <w:rPr>
          <w:sz w:val="20"/>
          <w:szCs w:val="20"/>
        </w:rPr>
        <w:t xml:space="preserve">As part of the </w:t>
      </w:r>
      <w:r w:rsidR="00877E81">
        <w:rPr>
          <w:sz w:val="20"/>
          <w:szCs w:val="20"/>
        </w:rPr>
        <w:t>Trustee’s</w:t>
      </w:r>
      <w:r w:rsidR="00877E81" w:rsidRPr="007F7182">
        <w:rPr>
          <w:sz w:val="20"/>
          <w:szCs w:val="20"/>
        </w:rPr>
        <w:t xml:space="preserve"> ESG policy, the Manager is required to request the underlying manager</w:t>
      </w:r>
      <w:r w:rsidR="00877E81">
        <w:rPr>
          <w:sz w:val="20"/>
          <w:szCs w:val="20"/>
        </w:rPr>
        <w:t>s</w:t>
      </w:r>
      <w:r w:rsidR="00877E81" w:rsidRPr="007F7182">
        <w:rPr>
          <w:sz w:val="20"/>
          <w:szCs w:val="20"/>
        </w:rPr>
        <w:t xml:space="preserve">’ policies and their adherence to them. The Manager reviews the policies of each underlying manager to ensure that these are appropriate. </w:t>
      </w:r>
    </w:p>
    <w:p w14:paraId="145B46A1" w14:textId="766A47CE" w:rsidR="00877E81" w:rsidRDefault="00877E81" w:rsidP="00877E81">
      <w:pPr>
        <w:spacing w:after="120"/>
        <w:ind w:left="360"/>
        <w:jc w:val="both"/>
        <w:rPr>
          <w:sz w:val="20"/>
          <w:szCs w:val="20"/>
        </w:rPr>
      </w:pPr>
      <w:r w:rsidRPr="007F7182">
        <w:rPr>
          <w:sz w:val="20"/>
          <w:szCs w:val="20"/>
        </w:rPr>
        <w:t xml:space="preserve">The </w:t>
      </w:r>
      <w:r>
        <w:rPr>
          <w:sz w:val="20"/>
          <w:szCs w:val="20"/>
        </w:rPr>
        <w:t>Trustee</w:t>
      </w:r>
      <w:r w:rsidRPr="007F7182">
        <w:rPr>
          <w:sz w:val="20"/>
          <w:szCs w:val="20"/>
        </w:rPr>
        <w:t xml:space="preserve"> expect</w:t>
      </w:r>
      <w:r>
        <w:rPr>
          <w:sz w:val="20"/>
          <w:szCs w:val="20"/>
        </w:rPr>
        <w:t xml:space="preserve">s </w:t>
      </w:r>
      <w:r w:rsidRPr="007F7182">
        <w:rPr>
          <w:sz w:val="20"/>
          <w:szCs w:val="20"/>
        </w:rPr>
        <w:t>the Manager to continue to work with underlying managers in order to ensure those on the weaker side of voting and engagement take action to make improvements. The Manager has acknowledged that all managers have been taking steps to improve both their voting and engagement and “best in class</w:t>
      </w:r>
      <w:r w:rsidR="00E83AA5">
        <w:rPr>
          <w:sz w:val="20"/>
          <w:szCs w:val="20"/>
        </w:rPr>
        <w:t>”</w:t>
      </w:r>
      <w:r w:rsidRPr="007F7182">
        <w:rPr>
          <w:sz w:val="20"/>
          <w:szCs w:val="20"/>
        </w:rPr>
        <w:t xml:space="preserve"> continues to evolve.  The </w:t>
      </w:r>
      <w:r>
        <w:rPr>
          <w:sz w:val="20"/>
          <w:szCs w:val="20"/>
        </w:rPr>
        <w:t xml:space="preserve">Trustee </w:t>
      </w:r>
      <w:r w:rsidRPr="007F7182">
        <w:rPr>
          <w:sz w:val="20"/>
          <w:szCs w:val="20"/>
        </w:rPr>
        <w:t xml:space="preserve">will be closely </w:t>
      </w:r>
      <w:r>
        <w:rPr>
          <w:sz w:val="20"/>
          <w:szCs w:val="20"/>
        </w:rPr>
        <w:t>monitoring developments over the coming years.</w:t>
      </w:r>
    </w:p>
    <w:p w14:paraId="06032081" w14:textId="77777777" w:rsidR="00877E81" w:rsidRPr="00956DD4" w:rsidRDefault="00877E81" w:rsidP="00877E81">
      <w:pPr>
        <w:pStyle w:val="BLKCoverDate"/>
        <w:numPr>
          <w:ilvl w:val="0"/>
          <w:numId w:val="5"/>
        </w:numPr>
        <w:rPr>
          <w:rFonts w:asciiTheme="minorHAnsi" w:hAnsiTheme="minorHAnsi"/>
          <w:b/>
          <w:bCs/>
          <w:color w:val="FF0000"/>
        </w:rPr>
      </w:pPr>
      <w:r>
        <w:rPr>
          <w:rFonts w:asciiTheme="minorHAnsi" w:hAnsiTheme="minorHAnsi"/>
          <w:b/>
          <w:bCs/>
          <w:color w:val="FF4713" w:themeColor="accent1"/>
          <w:lang w:val="en-GB"/>
        </w:rPr>
        <w:t xml:space="preserve">Voting and Engagement </w:t>
      </w:r>
    </w:p>
    <w:p w14:paraId="4FD9EBC8" w14:textId="3C48004D" w:rsidR="00EA3444" w:rsidRDefault="00877E81" w:rsidP="00877E81">
      <w:pPr>
        <w:pStyle w:val="BLKCoverDate"/>
        <w:ind w:left="360"/>
        <w:rPr>
          <w:rFonts w:asciiTheme="minorHAnsi" w:hAnsiTheme="minorHAnsi" w:cs="Calibri"/>
          <w:lang w:val="en-GB"/>
        </w:rPr>
      </w:pPr>
      <w:r>
        <w:rPr>
          <w:rFonts w:asciiTheme="minorHAnsi" w:hAnsiTheme="minorHAnsi" w:cs="Calibri"/>
          <w:lang w:val="en-GB"/>
        </w:rPr>
        <w:t xml:space="preserve">The Trustee has delegated to the Manager the responsibility of collecting the stewardship and engagement reports of the underlying managers and assessing the suitability. The Trustee also expects the Manager to </w:t>
      </w:r>
      <w:r>
        <w:rPr>
          <w:rFonts w:asciiTheme="minorHAnsi" w:hAnsiTheme="minorHAnsi" w:cs="Calibri"/>
          <w:lang w:val="en-GB"/>
        </w:rPr>
        <w:lastRenderedPageBreak/>
        <w:t>monitor the underlying manager’s activity to ensure compliance and confirm that it remains a suitable investment for the Scheme. The Trustee is comfortable that under the governance structure the responsibility sits with the Manager to communicate with the underlying managers and on a regular basis collect information as required.</w:t>
      </w:r>
    </w:p>
    <w:p w14:paraId="1C435753" w14:textId="77777777" w:rsidR="00877E81" w:rsidRDefault="00877E81" w:rsidP="00877E81">
      <w:pPr>
        <w:pStyle w:val="BLKCoverDate"/>
        <w:ind w:left="360"/>
        <w:rPr>
          <w:rFonts w:asciiTheme="minorHAnsi" w:hAnsiTheme="minorHAnsi" w:cs="Calibri"/>
          <w:lang w:val="en-GB"/>
        </w:rPr>
      </w:pPr>
      <w:r>
        <w:rPr>
          <w:rFonts w:asciiTheme="minorHAnsi" w:hAnsiTheme="minorHAnsi" w:cs="Calibri"/>
          <w:lang w:val="en-GB"/>
        </w:rPr>
        <w:t xml:space="preserve">The Manager has noted that there is variability between managers in the extent of their engagement and voting policies, with equity managers generally having made more progress than fixed income. This Implementation Statement focuses on the Scheme’s equities managers. It is intended that in future years there will be greater focus on other asset classes, in particular the fixed income managers. </w:t>
      </w:r>
    </w:p>
    <w:p w14:paraId="5E79D721" w14:textId="77777777" w:rsidR="00877E81" w:rsidRDefault="00877E81" w:rsidP="00877E81">
      <w:pPr>
        <w:pStyle w:val="BLKCoverDate"/>
        <w:ind w:left="360"/>
        <w:rPr>
          <w:rFonts w:asciiTheme="minorHAnsi" w:hAnsiTheme="minorHAnsi" w:cs="Calibri"/>
          <w:lang w:val="en-GB"/>
        </w:rPr>
      </w:pPr>
      <w:r>
        <w:rPr>
          <w:rFonts w:asciiTheme="minorHAnsi" w:hAnsiTheme="minorHAnsi" w:cs="Calibri"/>
          <w:lang w:val="en-GB"/>
        </w:rPr>
        <w:t xml:space="preserve">The section below details the investment managers’ approach to voting and engagement as well as some examples of significant engagements these managers have made over the 12 months </w:t>
      </w:r>
      <w:r w:rsidRPr="004C2CEB">
        <w:rPr>
          <w:rFonts w:asciiTheme="minorHAnsi" w:hAnsiTheme="minorHAnsi" w:cs="Calibri"/>
          <w:lang w:val="en-GB"/>
        </w:rPr>
        <w:t>in respect to the funds</w:t>
      </w:r>
      <w:r>
        <w:rPr>
          <w:rFonts w:asciiTheme="minorHAnsi" w:hAnsiTheme="minorHAnsi" w:cs="Calibri"/>
          <w:lang w:val="en-GB"/>
        </w:rPr>
        <w:t xml:space="preserve"> in which</w:t>
      </w:r>
      <w:r w:rsidRPr="004C2CEB">
        <w:rPr>
          <w:rFonts w:asciiTheme="minorHAnsi" w:hAnsiTheme="minorHAnsi" w:cs="Calibri"/>
          <w:lang w:val="en-GB"/>
        </w:rPr>
        <w:t xml:space="preserve"> the </w:t>
      </w:r>
      <w:r>
        <w:rPr>
          <w:rFonts w:asciiTheme="minorHAnsi" w:hAnsiTheme="minorHAnsi" w:cs="Calibri"/>
          <w:lang w:val="en-GB"/>
        </w:rPr>
        <w:t>Scheme</w:t>
      </w:r>
      <w:r w:rsidRPr="004C2CEB">
        <w:rPr>
          <w:rFonts w:asciiTheme="minorHAnsi" w:hAnsiTheme="minorHAnsi" w:cs="Calibri"/>
          <w:lang w:val="en-GB"/>
        </w:rPr>
        <w:t xml:space="preserve"> is invested.</w:t>
      </w:r>
      <w:r>
        <w:rPr>
          <w:rFonts w:asciiTheme="minorHAnsi" w:hAnsiTheme="minorHAnsi" w:cs="Calibri"/>
          <w:lang w:val="en-GB"/>
        </w:rPr>
        <w:t xml:space="preserve"> </w:t>
      </w:r>
    </w:p>
    <w:p w14:paraId="033EEDE0" w14:textId="4A643032" w:rsidR="00877E81" w:rsidRDefault="00877E81" w:rsidP="00877E81">
      <w:pPr>
        <w:pStyle w:val="BLKCoverDate"/>
        <w:ind w:left="360"/>
        <w:rPr>
          <w:rFonts w:asciiTheme="minorHAnsi" w:hAnsiTheme="minorHAnsi" w:cs="Calibri"/>
          <w:lang w:val="en-GB"/>
        </w:rPr>
      </w:pPr>
      <w:r>
        <w:rPr>
          <w:rFonts w:asciiTheme="minorHAnsi" w:hAnsiTheme="minorHAnsi" w:cs="Calibri"/>
          <w:lang w:val="en-GB"/>
        </w:rPr>
        <w:t>In addition, s</w:t>
      </w:r>
      <w:r w:rsidRPr="00A17E6D">
        <w:rPr>
          <w:rFonts w:asciiTheme="minorHAnsi" w:hAnsiTheme="minorHAnsi" w:cs="Calibri"/>
          <w:lang w:val="en-GB"/>
        </w:rPr>
        <w:t xml:space="preserve">ummary voting statistics in respect of the </w:t>
      </w:r>
      <w:r>
        <w:rPr>
          <w:rFonts w:asciiTheme="minorHAnsi" w:hAnsiTheme="minorHAnsi" w:cs="Calibri"/>
          <w:lang w:val="en-GB"/>
        </w:rPr>
        <w:t xml:space="preserve">Scheme’s </w:t>
      </w:r>
      <w:r w:rsidRPr="00A17E6D">
        <w:rPr>
          <w:rFonts w:asciiTheme="minorHAnsi" w:hAnsiTheme="minorHAnsi" w:cs="Calibri"/>
          <w:lang w:val="en-GB"/>
        </w:rPr>
        <w:t xml:space="preserve">equities funds over the year to </w:t>
      </w:r>
      <w:r w:rsidR="00AA01DC">
        <w:rPr>
          <w:rFonts w:asciiTheme="minorHAnsi" w:hAnsiTheme="minorHAnsi" w:cs="Calibri"/>
          <w:lang w:val="en-GB"/>
        </w:rPr>
        <w:t>31 March 202</w:t>
      </w:r>
      <w:r w:rsidR="00212515">
        <w:rPr>
          <w:rFonts w:asciiTheme="minorHAnsi" w:hAnsiTheme="minorHAnsi" w:cs="Calibri"/>
          <w:lang w:val="en-GB"/>
        </w:rPr>
        <w:t>4</w:t>
      </w:r>
      <w:r>
        <w:rPr>
          <w:rFonts w:asciiTheme="minorHAnsi" w:hAnsiTheme="minorHAnsi" w:cs="Calibri"/>
          <w:lang w:val="en-GB"/>
        </w:rPr>
        <w:t xml:space="preserve"> have been included</w:t>
      </w:r>
      <w:r w:rsidRPr="00A17E6D">
        <w:rPr>
          <w:rFonts w:asciiTheme="minorHAnsi" w:hAnsiTheme="minorHAnsi" w:cs="Calibri"/>
          <w:lang w:val="en-GB"/>
        </w:rPr>
        <w:t xml:space="preserve">. Voting statistics have been reported over the one-year period to </w:t>
      </w:r>
      <w:r w:rsidR="00AA01DC">
        <w:rPr>
          <w:rFonts w:asciiTheme="minorHAnsi" w:hAnsiTheme="minorHAnsi" w:cs="Calibri"/>
          <w:lang w:val="en-GB"/>
        </w:rPr>
        <w:t xml:space="preserve">31 March </w:t>
      </w:r>
      <w:r w:rsidRPr="00A17E6D">
        <w:rPr>
          <w:rFonts w:asciiTheme="minorHAnsi" w:hAnsiTheme="minorHAnsi" w:cs="Calibri"/>
          <w:lang w:val="en-GB"/>
        </w:rPr>
        <w:t xml:space="preserve">as this likely to result in greater coverage across investment managers and therefore also provide greater comparability and consistency going forwards. </w:t>
      </w:r>
    </w:p>
    <w:p w14:paraId="20385888" w14:textId="77777777" w:rsidR="00877E81" w:rsidRPr="00C71C9A" w:rsidRDefault="00877E81" w:rsidP="00877E81">
      <w:pPr>
        <w:spacing w:after="120"/>
        <w:ind w:left="360"/>
        <w:rPr>
          <w:b/>
          <w:bCs/>
          <w:sz w:val="20"/>
          <w:szCs w:val="20"/>
          <w:lang w:val="en-GB"/>
        </w:rPr>
      </w:pPr>
      <w:r w:rsidRPr="00C71C9A">
        <w:rPr>
          <w:b/>
          <w:bCs/>
          <w:sz w:val="20"/>
          <w:szCs w:val="20"/>
          <w:lang w:val="en-GB"/>
        </w:rPr>
        <w:t>BlackRock</w:t>
      </w:r>
      <w:r>
        <w:rPr>
          <w:b/>
          <w:bCs/>
          <w:sz w:val="20"/>
          <w:szCs w:val="20"/>
          <w:lang w:val="en-GB"/>
        </w:rPr>
        <w:t>:</w:t>
      </w:r>
    </w:p>
    <w:p w14:paraId="2CA92F0E" w14:textId="77777777" w:rsidR="00877E81" w:rsidRDefault="00877E81" w:rsidP="00877E81">
      <w:pPr>
        <w:spacing w:after="120"/>
        <w:ind w:left="360"/>
        <w:jc w:val="both"/>
        <w:rPr>
          <w:sz w:val="20"/>
          <w:szCs w:val="20"/>
          <w:lang w:val="en-GB"/>
        </w:rPr>
      </w:pPr>
      <w:r>
        <w:rPr>
          <w:sz w:val="20"/>
          <w:szCs w:val="20"/>
          <w:lang w:val="en-GB"/>
        </w:rPr>
        <w:t>The Scheme</w:t>
      </w:r>
      <w:r w:rsidRPr="008F0FFF">
        <w:rPr>
          <w:sz w:val="20"/>
          <w:szCs w:val="20"/>
          <w:lang w:val="en-GB"/>
        </w:rPr>
        <w:t xml:space="preserve"> </w:t>
      </w:r>
      <w:r>
        <w:rPr>
          <w:sz w:val="20"/>
          <w:szCs w:val="20"/>
          <w:lang w:val="en-GB"/>
        </w:rPr>
        <w:t xml:space="preserve">has a portion of its </w:t>
      </w:r>
      <w:r w:rsidRPr="008F0FFF">
        <w:rPr>
          <w:sz w:val="20"/>
          <w:szCs w:val="20"/>
          <w:lang w:val="en-GB"/>
        </w:rPr>
        <w:t>Growth assets invested in funds managed by the Manage</w:t>
      </w:r>
      <w:r>
        <w:rPr>
          <w:sz w:val="20"/>
          <w:szCs w:val="20"/>
          <w:lang w:val="en-GB"/>
        </w:rPr>
        <w:t>r. Given the Manager’s appointment as both the fiduciary manager as well one of the investment managers,</w:t>
      </w:r>
      <w:r w:rsidRPr="008F0FFF">
        <w:rPr>
          <w:sz w:val="20"/>
          <w:szCs w:val="20"/>
          <w:lang w:val="en-GB"/>
        </w:rPr>
        <w:t xml:space="preserve"> the Trustee </w:t>
      </w:r>
      <w:r>
        <w:rPr>
          <w:sz w:val="20"/>
          <w:szCs w:val="20"/>
          <w:lang w:val="en-GB"/>
        </w:rPr>
        <w:t xml:space="preserve">recognises the </w:t>
      </w:r>
      <w:r w:rsidRPr="008F0FFF">
        <w:rPr>
          <w:sz w:val="20"/>
          <w:szCs w:val="20"/>
          <w:lang w:val="en-GB"/>
        </w:rPr>
        <w:t xml:space="preserve">importance of ensuring that the Manager’s own policies and actions are appropriate for the </w:t>
      </w:r>
      <w:r>
        <w:rPr>
          <w:sz w:val="20"/>
          <w:szCs w:val="20"/>
          <w:lang w:val="en-GB"/>
        </w:rPr>
        <w:t>Scheme</w:t>
      </w:r>
      <w:r w:rsidRPr="008F0FFF">
        <w:rPr>
          <w:sz w:val="20"/>
          <w:szCs w:val="20"/>
          <w:lang w:val="en-GB"/>
        </w:rPr>
        <w:t xml:space="preserve">. </w:t>
      </w:r>
      <w:r w:rsidRPr="00C264E7">
        <w:rPr>
          <w:sz w:val="20"/>
          <w:szCs w:val="20"/>
          <w:lang w:val="en-GB"/>
        </w:rPr>
        <w:t>The Manager publicises its own policies as well as quarterly updates online</w:t>
      </w:r>
      <w:r>
        <w:rPr>
          <w:sz w:val="20"/>
          <w:szCs w:val="20"/>
          <w:lang w:val="en-GB"/>
        </w:rPr>
        <w:t xml:space="preserve"> (which can be accessed </w:t>
      </w:r>
      <w:hyperlink r:id="rId8" w:history="1">
        <w:r w:rsidRPr="008F0FFF">
          <w:rPr>
            <w:rStyle w:val="Hyperlink"/>
            <w:sz w:val="20"/>
            <w:szCs w:val="20"/>
            <w:lang w:val="en-GB"/>
          </w:rPr>
          <w:t>here</w:t>
        </w:r>
      </w:hyperlink>
      <w:r>
        <w:rPr>
          <w:sz w:val="20"/>
          <w:szCs w:val="20"/>
          <w:lang w:val="en-GB"/>
        </w:rPr>
        <w:t xml:space="preserve">) </w:t>
      </w:r>
      <w:r w:rsidRPr="00A17E6D">
        <w:rPr>
          <w:rFonts w:eastAsia="Times New Roman" w:cs="Calibri"/>
          <w:color w:val="000000" w:themeColor="text1"/>
          <w:sz w:val="20"/>
          <w:szCs w:val="20"/>
          <w:lang w:val="en-GB"/>
        </w:rPr>
        <w:t xml:space="preserve">which the </w:t>
      </w:r>
      <w:r>
        <w:rPr>
          <w:rFonts w:eastAsia="Times New Roman" w:cs="Calibri"/>
          <w:color w:val="000000" w:themeColor="text1"/>
          <w:sz w:val="20"/>
          <w:szCs w:val="20"/>
          <w:lang w:val="en-GB"/>
        </w:rPr>
        <w:t xml:space="preserve">Trustee has </w:t>
      </w:r>
      <w:r w:rsidRPr="00A17E6D">
        <w:rPr>
          <w:rFonts w:eastAsia="Times New Roman" w:cs="Calibri"/>
          <w:color w:val="000000" w:themeColor="text1"/>
          <w:sz w:val="20"/>
          <w:szCs w:val="20"/>
          <w:lang w:val="en-GB"/>
        </w:rPr>
        <w:t xml:space="preserve">visibility of. This includes details of any changes to policies and also reports at an aggregate level the impact of its voting and engagement. The </w:t>
      </w:r>
      <w:r>
        <w:rPr>
          <w:rFonts w:eastAsia="Times New Roman" w:cs="Calibri"/>
          <w:color w:val="000000" w:themeColor="text1"/>
          <w:sz w:val="20"/>
          <w:szCs w:val="20"/>
          <w:lang w:val="en-GB"/>
        </w:rPr>
        <w:t xml:space="preserve">Trustee is </w:t>
      </w:r>
      <w:r w:rsidRPr="00A17E6D">
        <w:rPr>
          <w:rFonts w:eastAsia="Times New Roman" w:cs="Calibri"/>
          <w:color w:val="000000" w:themeColor="text1"/>
          <w:sz w:val="20"/>
          <w:szCs w:val="20"/>
          <w:lang w:val="en-GB"/>
        </w:rPr>
        <w:t xml:space="preserve">comfortable that the transparency of the Manager in publicising reports and developments online ensures alignment with the interests of the </w:t>
      </w:r>
      <w:r>
        <w:rPr>
          <w:rFonts w:eastAsia="Times New Roman" w:cs="Calibri"/>
          <w:color w:val="000000" w:themeColor="text1"/>
          <w:sz w:val="20"/>
          <w:szCs w:val="20"/>
          <w:lang w:val="en-GB"/>
        </w:rPr>
        <w:t>Scheme</w:t>
      </w:r>
      <w:r w:rsidRPr="00A17E6D">
        <w:rPr>
          <w:rFonts w:eastAsia="Times New Roman" w:cs="Calibri"/>
          <w:color w:val="000000" w:themeColor="text1"/>
          <w:sz w:val="20"/>
          <w:szCs w:val="20"/>
          <w:lang w:val="en-GB"/>
        </w:rPr>
        <w:t>.</w:t>
      </w:r>
    </w:p>
    <w:p w14:paraId="717EE7CD" w14:textId="77777777" w:rsidR="00877E81" w:rsidRPr="00A17E6D" w:rsidRDefault="00877E81" w:rsidP="00877E81">
      <w:pPr>
        <w:pStyle w:val="BLKCoverDate"/>
        <w:ind w:left="360"/>
        <w:rPr>
          <w:rFonts w:asciiTheme="minorHAnsi" w:hAnsiTheme="minorHAnsi" w:cs="Calibri"/>
          <w:lang w:val="en-GB"/>
        </w:rPr>
      </w:pPr>
      <w:r w:rsidRPr="00A17E6D">
        <w:rPr>
          <w:rFonts w:asciiTheme="minorHAnsi" w:hAnsiTheme="minorHAnsi" w:cs="Calibri"/>
          <w:lang w:val="en-GB"/>
        </w:rPr>
        <w:t>Whilst it is important to monitor the activities of the Manager at a high level through this publicly available information, it is also important to monitor the voting and engagement activities undertaken on behalf of the Trustee</w:t>
      </w:r>
      <w:r>
        <w:rPr>
          <w:rFonts w:asciiTheme="minorHAnsi" w:hAnsiTheme="minorHAnsi" w:cs="Calibri"/>
          <w:lang w:val="en-GB"/>
        </w:rPr>
        <w:t xml:space="preserve"> </w:t>
      </w:r>
      <w:r w:rsidRPr="00A17E6D">
        <w:rPr>
          <w:rFonts w:asciiTheme="minorHAnsi" w:hAnsiTheme="minorHAnsi" w:cs="Calibri"/>
          <w:lang w:val="en-GB"/>
        </w:rPr>
        <w:t xml:space="preserve">by the Manager on a more granular level. </w:t>
      </w:r>
    </w:p>
    <w:p w14:paraId="2C8F9AC3" w14:textId="3826F922" w:rsidR="00877E81" w:rsidRPr="00A17E6D" w:rsidRDefault="00877E81" w:rsidP="00877E81">
      <w:pPr>
        <w:pStyle w:val="BLKCoverDate"/>
        <w:ind w:left="360"/>
        <w:rPr>
          <w:rFonts w:asciiTheme="minorHAnsi" w:hAnsiTheme="minorHAnsi" w:cs="Calibri"/>
          <w:lang w:val="en-GB"/>
        </w:rPr>
      </w:pPr>
      <w:r w:rsidRPr="00A17E6D">
        <w:rPr>
          <w:rFonts w:asciiTheme="minorHAnsi" w:hAnsiTheme="minorHAnsi" w:cs="Calibri"/>
          <w:lang w:val="en-GB"/>
        </w:rPr>
        <w:t xml:space="preserve">With the exception of the BlackRock European Equities fund, the </w:t>
      </w:r>
      <w:r>
        <w:rPr>
          <w:rFonts w:asciiTheme="minorHAnsi" w:hAnsiTheme="minorHAnsi" w:cs="Calibri"/>
          <w:lang w:val="en-GB"/>
        </w:rPr>
        <w:t xml:space="preserve">Scheme’s </w:t>
      </w:r>
      <w:r w:rsidRPr="00A17E6D">
        <w:rPr>
          <w:rFonts w:asciiTheme="minorHAnsi" w:hAnsiTheme="minorHAnsi" w:cs="Calibri"/>
          <w:lang w:val="en-GB"/>
        </w:rPr>
        <w:t xml:space="preserve">BlackRock equities funds are passive (i.e. index) strategies. In respect of passive strategies, there is a wide universe of underlying companies which may number in the hundreds if not thousands. Where strategies are actively managed, investments are typically more concentrated. As such, ownership is more concentrated for actively managed strategies and therefore there will be fewer resolutions in which to vote. In addition, actively managed strategies have the option to sell holdings in companies at its discretion. For these reasons, in the context of passive strategies, it is important that voting and engagement rights are exercised and that this is monitored. </w:t>
      </w:r>
      <w:r w:rsidR="00EA3444">
        <w:rPr>
          <w:rFonts w:asciiTheme="minorHAnsi" w:hAnsiTheme="minorHAnsi" w:cs="Calibri"/>
          <w:lang w:val="en-GB"/>
        </w:rPr>
        <w:t>E</w:t>
      </w:r>
      <w:r w:rsidR="00EA3444" w:rsidRPr="001774FA">
        <w:rPr>
          <w:rFonts w:asciiTheme="minorHAnsi" w:hAnsiTheme="minorHAnsi" w:cs="Calibri"/>
          <w:lang w:val="en-GB"/>
        </w:rPr>
        <w:t>xample</w:t>
      </w:r>
      <w:r w:rsidR="00EA3444">
        <w:rPr>
          <w:rFonts w:asciiTheme="minorHAnsi" w:hAnsiTheme="minorHAnsi" w:cs="Calibri"/>
          <w:lang w:val="en-GB"/>
        </w:rPr>
        <w:t>s</w:t>
      </w:r>
      <w:r w:rsidR="00EA3444" w:rsidRPr="001774FA">
        <w:rPr>
          <w:rFonts w:asciiTheme="minorHAnsi" w:hAnsiTheme="minorHAnsi" w:cs="Calibri"/>
          <w:lang w:val="en-GB"/>
        </w:rPr>
        <w:t xml:space="preserve"> of significant vote</w:t>
      </w:r>
      <w:r w:rsidR="00EA3444">
        <w:rPr>
          <w:rFonts w:asciiTheme="minorHAnsi" w:hAnsiTheme="minorHAnsi" w:cs="Calibri"/>
          <w:lang w:val="en-GB"/>
        </w:rPr>
        <w:t>s</w:t>
      </w:r>
      <w:r w:rsidR="00EA3444" w:rsidRPr="001774FA">
        <w:rPr>
          <w:rFonts w:asciiTheme="minorHAnsi" w:hAnsiTheme="minorHAnsi" w:cs="Calibri"/>
          <w:lang w:val="en-GB"/>
        </w:rPr>
        <w:t xml:space="preserve"> in respect of the BlackRock </w:t>
      </w:r>
      <w:r w:rsidR="00EA3444">
        <w:rPr>
          <w:rFonts w:asciiTheme="minorHAnsi" w:hAnsiTheme="minorHAnsi" w:cs="Calibri"/>
          <w:lang w:val="en-GB"/>
        </w:rPr>
        <w:t xml:space="preserve">holdings are </w:t>
      </w:r>
      <w:r w:rsidR="00EA3444" w:rsidRPr="001774FA">
        <w:rPr>
          <w:rFonts w:asciiTheme="minorHAnsi" w:hAnsiTheme="minorHAnsi" w:cs="Calibri"/>
          <w:lang w:val="en-GB"/>
        </w:rPr>
        <w:t>included below</w:t>
      </w:r>
      <w:r>
        <w:rPr>
          <w:rFonts w:asciiTheme="minorHAnsi" w:hAnsiTheme="minorHAnsi" w:cs="Calibri"/>
          <w:lang w:val="en-GB"/>
        </w:rPr>
        <w:t xml:space="preserve">. </w:t>
      </w:r>
      <w:r w:rsidRPr="00A17E6D">
        <w:rPr>
          <w:rFonts w:asciiTheme="minorHAnsi" w:hAnsiTheme="minorHAnsi" w:cs="Calibri"/>
          <w:lang w:val="en-GB"/>
        </w:rPr>
        <w:t>The summary voting statistics below illustrate that the voting rights attached</w:t>
      </w:r>
      <w:r w:rsidR="00E83AA5">
        <w:rPr>
          <w:rFonts w:asciiTheme="minorHAnsi" w:hAnsiTheme="minorHAnsi" w:cs="Calibri"/>
          <w:lang w:val="en-GB"/>
        </w:rPr>
        <w:t xml:space="preserve"> to</w:t>
      </w:r>
      <w:r w:rsidRPr="00A17E6D">
        <w:rPr>
          <w:rFonts w:asciiTheme="minorHAnsi" w:hAnsiTheme="minorHAnsi" w:cs="Calibri"/>
          <w:lang w:val="en-GB"/>
        </w:rPr>
        <w:t xml:space="preserve"> the underlying investments in these instances have been exercised</w:t>
      </w:r>
      <w:r>
        <w:rPr>
          <w:rFonts w:asciiTheme="minorHAnsi" w:hAnsiTheme="minorHAnsi" w:cs="Calibri"/>
          <w:lang w:val="en-GB"/>
        </w:rPr>
        <w:t xml:space="preserve"> to a large extent</w:t>
      </w:r>
      <w:r w:rsidRPr="00A17E6D">
        <w:rPr>
          <w:rFonts w:asciiTheme="minorHAnsi" w:hAnsiTheme="minorHAnsi" w:cs="Calibri"/>
          <w:lang w:val="en-GB"/>
        </w:rPr>
        <w:t>.</w:t>
      </w:r>
    </w:p>
    <w:p w14:paraId="1C30E4E9" w14:textId="77777777" w:rsidR="00877E81" w:rsidRPr="00A17E6D" w:rsidRDefault="00877E81" w:rsidP="00877E81">
      <w:pPr>
        <w:pStyle w:val="BLKCoverDate"/>
        <w:ind w:left="360"/>
        <w:rPr>
          <w:rFonts w:asciiTheme="minorHAnsi" w:hAnsiTheme="minorHAnsi" w:cs="Calibri"/>
          <w:lang w:val="en-GB"/>
        </w:rPr>
      </w:pPr>
      <w:r w:rsidRPr="00A17E6D">
        <w:rPr>
          <w:rFonts w:asciiTheme="minorHAnsi" w:hAnsiTheme="minorHAnsi" w:cs="Calibri"/>
          <w:lang w:val="en-GB"/>
        </w:rPr>
        <w:t xml:space="preserve">The Manager’s approach to voting is described in the table below, along with summary voting statistics for the Manager’s equities funds. </w:t>
      </w:r>
    </w:p>
    <w:p w14:paraId="1ACA8FB8" w14:textId="77777777" w:rsidR="00877E81" w:rsidRPr="004C2CEB" w:rsidRDefault="00877E81" w:rsidP="00877E81">
      <w:pPr>
        <w:rPr>
          <w:b/>
          <w:bCs/>
          <w:sz w:val="20"/>
          <w:szCs w:val="20"/>
          <w:lang w:val="en-GB"/>
        </w:rPr>
      </w:pPr>
    </w:p>
    <w:tbl>
      <w:tblPr>
        <w:tblW w:w="10348" w:type="dxa"/>
        <w:tblLayout w:type="fixed"/>
        <w:tblCellMar>
          <w:left w:w="0" w:type="dxa"/>
          <w:right w:w="0" w:type="dxa"/>
        </w:tblCellMar>
        <w:tblLook w:val="04A0" w:firstRow="1" w:lastRow="0" w:firstColumn="1" w:lastColumn="0" w:noHBand="0" w:noVBand="1"/>
      </w:tblPr>
      <w:tblGrid>
        <w:gridCol w:w="1560"/>
        <w:gridCol w:w="8788"/>
      </w:tblGrid>
      <w:tr w:rsidR="00DB3F4F" w:rsidRPr="004C2CEB" w14:paraId="1CC44411"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67F84DD9" w14:textId="77777777" w:rsidR="00DB3F4F" w:rsidRPr="00734D9B" w:rsidRDefault="00DB3F4F" w:rsidP="00DB3F4F">
            <w:pPr>
              <w:pStyle w:val="NormalWeb"/>
              <w:spacing w:before="0" w:beforeAutospacing="0" w:after="0" w:afterAutospacing="0"/>
              <w:rPr>
                <w:rFonts w:asciiTheme="minorHAnsi" w:eastAsia="Calibri" w:hAnsiTheme="minorHAnsi" w:cs="Arial"/>
                <w:b/>
                <w:bCs/>
                <w:color w:val="000000" w:themeColor="text1"/>
                <w:kern w:val="24"/>
                <w:sz w:val="20"/>
                <w:szCs w:val="20"/>
              </w:rPr>
            </w:pPr>
            <w:r>
              <w:rPr>
                <w:rFonts w:asciiTheme="minorHAnsi" w:eastAsia="Calibri" w:hAnsiTheme="minorHAnsi" w:cs="Arial"/>
                <w:b/>
                <w:bCs/>
                <w:color w:val="000000" w:themeColor="text1"/>
                <w:kern w:val="24"/>
                <w:sz w:val="20"/>
                <w:szCs w:val="20"/>
              </w:rPr>
              <w:t>Approach to voting</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2FDD5950" w14:textId="77777777" w:rsidR="00DB3F4F" w:rsidRPr="00061CEF" w:rsidRDefault="00DB3F4F" w:rsidP="00DB3F4F">
            <w:pPr>
              <w:spacing w:after="120"/>
              <w:jc w:val="both"/>
              <w:rPr>
                <w:rFonts w:eastAsia="Times New Roman" w:cs="Arial"/>
                <w:color w:val="000000"/>
                <w:sz w:val="20"/>
                <w:szCs w:val="20"/>
                <w:lang w:val="en-GB" w:eastAsia="en-GB"/>
              </w:rPr>
            </w:pPr>
            <w:r w:rsidRPr="00061CEF">
              <w:rPr>
                <w:rFonts w:eastAsia="Times New Roman" w:cs="Arial"/>
                <w:color w:val="000000"/>
                <w:sz w:val="20"/>
                <w:szCs w:val="20"/>
                <w:lang w:val="en-GB" w:eastAsia="en-GB"/>
              </w:rPr>
              <w:t xml:space="preserve">BlackRock sees its investment stewardship program, including proxy voting, as part of its fiduciary duty </w:t>
            </w:r>
            <w:r>
              <w:rPr>
                <w:rFonts w:eastAsia="Times New Roman" w:cs="Arial"/>
                <w:color w:val="000000"/>
                <w:sz w:val="20"/>
                <w:szCs w:val="20"/>
                <w:lang w:val="en-GB" w:eastAsia="en-GB"/>
              </w:rPr>
              <w:t xml:space="preserve">and as a way to </w:t>
            </w:r>
            <w:r w:rsidRPr="00061CEF">
              <w:rPr>
                <w:rFonts w:eastAsia="Times New Roman" w:cs="Arial"/>
                <w:color w:val="000000"/>
                <w:sz w:val="20"/>
                <w:szCs w:val="20"/>
                <w:lang w:val="en-GB" w:eastAsia="en-GB"/>
              </w:rPr>
              <w:t>enhance the value of clients’ assets, using our voice as a shareholder on their behalf to ensure that companies are well led and well managed</w:t>
            </w:r>
            <w:r>
              <w:rPr>
                <w:rFonts w:eastAsia="Times New Roman" w:cs="Arial"/>
                <w:color w:val="000000"/>
                <w:sz w:val="20"/>
                <w:szCs w:val="20"/>
                <w:lang w:val="en-GB" w:eastAsia="en-GB"/>
              </w:rPr>
              <w:t>.</w:t>
            </w:r>
          </w:p>
          <w:p w14:paraId="59B81067" w14:textId="77777777" w:rsidR="00DB3F4F" w:rsidRDefault="00DB3F4F" w:rsidP="00DB3F4F">
            <w:pPr>
              <w:spacing w:after="120"/>
              <w:jc w:val="both"/>
              <w:rPr>
                <w:rFonts w:eastAsia="Times New Roman" w:cs="Arial"/>
                <w:color w:val="000000"/>
                <w:sz w:val="20"/>
                <w:szCs w:val="20"/>
                <w:lang w:val="en-GB" w:eastAsia="en-GB"/>
              </w:rPr>
            </w:pPr>
            <w:r>
              <w:rPr>
                <w:rFonts w:eastAsia="Times New Roman" w:cs="Arial"/>
                <w:color w:val="000000"/>
                <w:sz w:val="20"/>
                <w:szCs w:val="20"/>
                <w:lang w:val="en-GB" w:eastAsia="en-GB"/>
              </w:rPr>
              <w:t xml:space="preserve">The </w:t>
            </w:r>
            <w:r w:rsidRPr="001B0C11">
              <w:rPr>
                <w:rFonts w:eastAsia="Times New Roman" w:cs="Arial"/>
                <w:color w:val="000000"/>
                <w:sz w:val="20"/>
                <w:szCs w:val="20"/>
                <w:lang w:val="en-GB" w:eastAsia="en-GB"/>
              </w:rPr>
              <w:t xml:space="preserve">BlackRock Investment Stewardship </w:t>
            </w:r>
            <w:r>
              <w:rPr>
                <w:rFonts w:eastAsia="Times New Roman" w:cs="Arial"/>
                <w:color w:val="000000"/>
                <w:sz w:val="20"/>
                <w:szCs w:val="20"/>
                <w:lang w:val="en-GB" w:eastAsia="en-GB"/>
              </w:rPr>
              <w:t xml:space="preserve">team </w:t>
            </w:r>
            <w:r w:rsidRPr="001B0C11">
              <w:rPr>
                <w:rFonts w:eastAsia="Times New Roman" w:cs="Arial"/>
                <w:color w:val="000000"/>
                <w:sz w:val="20"/>
                <w:szCs w:val="20"/>
                <w:lang w:val="en-GB" w:eastAsia="en-GB"/>
              </w:rPr>
              <w:t xml:space="preserve">does this through engagement with management teams and/or board members on material business issues including environmental, social, and governance matters and, for those clients who have given </w:t>
            </w:r>
            <w:r>
              <w:rPr>
                <w:rFonts w:eastAsia="Times New Roman" w:cs="Arial"/>
                <w:color w:val="000000"/>
                <w:sz w:val="20"/>
                <w:szCs w:val="20"/>
                <w:lang w:val="en-GB" w:eastAsia="en-GB"/>
              </w:rPr>
              <w:t xml:space="preserve">BlackRock </w:t>
            </w:r>
            <w:r w:rsidRPr="001B0C11">
              <w:rPr>
                <w:rFonts w:eastAsia="Times New Roman" w:cs="Arial"/>
                <w:color w:val="000000"/>
                <w:sz w:val="20"/>
                <w:szCs w:val="20"/>
                <w:lang w:val="en-GB" w:eastAsia="en-GB"/>
              </w:rPr>
              <w:t xml:space="preserve">authority, through voting proxies in the best long-term economic interests of </w:t>
            </w:r>
            <w:r>
              <w:rPr>
                <w:rFonts w:eastAsia="Times New Roman" w:cs="Arial"/>
                <w:color w:val="000000"/>
                <w:sz w:val="20"/>
                <w:szCs w:val="20"/>
                <w:lang w:val="en-GB" w:eastAsia="en-GB"/>
              </w:rPr>
              <w:t>its</w:t>
            </w:r>
            <w:r w:rsidRPr="001B0C11">
              <w:rPr>
                <w:rFonts w:eastAsia="Times New Roman" w:cs="Arial"/>
                <w:color w:val="000000"/>
                <w:sz w:val="20"/>
                <w:szCs w:val="20"/>
                <w:lang w:val="en-GB" w:eastAsia="en-GB"/>
              </w:rPr>
              <w:t xml:space="preserve"> clients.</w:t>
            </w:r>
          </w:p>
          <w:p w14:paraId="055A1E0E" w14:textId="77777777" w:rsidR="00DB3F4F" w:rsidRPr="00061CEF" w:rsidRDefault="00DB3F4F" w:rsidP="00DB3F4F">
            <w:pPr>
              <w:spacing w:after="120"/>
              <w:jc w:val="both"/>
              <w:rPr>
                <w:rFonts w:eastAsia="Times New Roman" w:cs="Arial"/>
                <w:color w:val="000000"/>
                <w:sz w:val="20"/>
                <w:szCs w:val="20"/>
                <w:lang w:val="en-GB" w:eastAsia="en-GB"/>
              </w:rPr>
            </w:pPr>
            <w:r w:rsidRPr="00061CEF">
              <w:rPr>
                <w:rFonts w:eastAsia="Times New Roman" w:cs="Arial"/>
                <w:color w:val="000000"/>
                <w:sz w:val="20"/>
                <w:szCs w:val="20"/>
                <w:lang w:val="en-GB" w:eastAsia="en-GB"/>
              </w:rPr>
              <w:t>BlackRock’s proxy voting process is led by the BlackRock Investment Stewardship team (</w:t>
            </w:r>
            <w:r>
              <w:rPr>
                <w:rFonts w:eastAsia="Times New Roman" w:cs="Arial"/>
                <w:color w:val="000000"/>
                <w:sz w:val="20"/>
                <w:szCs w:val="20"/>
                <w:lang w:val="en-GB" w:eastAsia="en-GB"/>
              </w:rPr>
              <w:t>“</w:t>
            </w:r>
            <w:r w:rsidRPr="00061CEF">
              <w:rPr>
                <w:rFonts w:eastAsia="Times New Roman" w:cs="Arial"/>
                <w:color w:val="000000"/>
                <w:sz w:val="20"/>
                <w:szCs w:val="20"/>
                <w:lang w:val="en-GB" w:eastAsia="en-GB"/>
              </w:rPr>
              <w:t>BIS</w:t>
            </w:r>
            <w:r>
              <w:rPr>
                <w:rFonts w:eastAsia="Times New Roman" w:cs="Arial"/>
                <w:color w:val="000000"/>
                <w:sz w:val="20"/>
                <w:szCs w:val="20"/>
                <w:lang w:val="en-GB" w:eastAsia="en-GB"/>
              </w:rPr>
              <w:t>”</w:t>
            </w:r>
            <w:r w:rsidRPr="00061CEF">
              <w:rPr>
                <w:rFonts w:eastAsia="Times New Roman" w:cs="Arial"/>
                <w:color w:val="000000"/>
                <w:sz w:val="20"/>
                <w:szCs w:val="20"/>
                <w:lang w:val="en-GB" w:eastAsia="en-GB"/>
              </w:rPr>
              <w:t>), which consists of three regional teams – Americas (“AMRS”), Asia-Pacific (“APAC”), and Europe, Middle East and Africa (“EMEA”) - located in seven offices around the world. The analysts with</w:t>
            </w:r>
            <w:r>
              <w:rPr>
                <w:rFonts w:eastAsia="Times New Roman" w:cs="Arial"/>
                <w:color w:val="000000"/>
                <w:sz w:val="20"/>
                <w:szCs w:val="20"/>
                <w:lang w:val="en-GB" w:eastAsia="en-GB"/>
              </w:rPr>
              <w:t>in</w:t>
            </w:r>
            <w:r w:rsidRPr="00061CEF">
              <w:rPr>
                <w:rFonts w:eastAsia="Times New Roman" w:cs="Arial"/>
                <w:color w:val="000000"/>
                <w:sz w:val="20"/>
                <w:szCs w:val="20"/>
                <w:lang w:val="en-GB" w:eastAsia="en-GB"/>
              </w:rPr>
              <w:t xml:space="preserve"> each team will generally determine how to vote at the meetings of the companies they cover.  Voting decisions are made by members of the BlackRock Investment Stewardship team with input from investment colleagues as required, in each case, in accordance with BlackRock’s Global Principles and custom market-specific voting guidelines. </w:t>
            </w:r>
          </w:p>
          <w:p w14:paraId="6D3FC25E" w14:textId="77777777" w:rsidR="00DB3F4F" w:rsidRDefault="00DB3F4F" w:rsidP="00DB3F4F">
            <w:pPr>
              <w:spacing w:after="120"/>
              <w:jc w:val="both"/>
              <w:rPr>
                <w:rFonts w:eastAsia="Times New Roman" w:cs="Arial"/>
                <w:color w:val="000000"/>
                <w:sz w:val="20"/>
                <w:szCs w:val="20"/>
                <w:lang w:val="en-GB" w:eastAsia="en-GB"/>
              </w:rPr>
            </w:pPr>
            <w:r>
              <w:rPr>
                <w:rFonts w:eastAsia="Times New Roman" w:cs="Arial"/>
                <w:color w:val="000000"/>
                <w:sz w:val="20"/>
                <w:szCs w:val="20"/>
                <w:lang w:val="en-GB" w:eastAsia="en-GB"/>
              </w:rPr>
              <w:t xml:space="preserve">Whilst BlackRock </w:t>
            </w:r>
            <w:r w:rsidRPr="00061CEF">
              <w:rPr>
                <w:rFonts w:eastAsia="Times New Roman" w:cs="Arial"/>
                <w:color w:val="000000"/>
                <w:sz w:val="20"/>
                <w:szCs w:val="20"/>
                <w:lang w:val="en-GB" w:eastAsia="en-GB"/>
              </w:rPr>
              <w:t>subscribe</w:t>
            </w:r>
            <w:r>
              <w:rPr>
                <w:rFonts w:eastAsia="Times New Roman" w:cs="Arial"/>
                <w:color w:val="000000"/>
                <w:sz w:val="20"/>
                <w:szCs w:val="20"/>
                <w:lang w:val="en-GB" w:eastAsia="en-GB"/>
              </w:rPr>
              <w:t>s</w:t>
            </w:r>
            <w:r w:rsidRPr="00061CEF">
              <w:rPr>
                <w:rFonts w:eastAsia="Times New Roman" w:cs="Arial"/>
                <w:color w:val="000000"/>
                <w:sz w:val="20"/>
                <w:szCs w:val="20"/>
                <w:lang w:val="en-GB" w:eastAsia="en-GB"/>
              </w:rPr>
              <w:t xml:space="preserve"> to research from the proxy advisory firms Institutional Shareholder Services (ISS) and Glass Lewis, it is just one among many inputs into </w:t>
            </w:r>
            <w:r>
              <w:rPr>
                <w:rFonts w:eastAsia="Times New Roman" w:cs="Arial"/>
                <w:color w:val="000000"/>
                <w:sz w:val="20"/>
                <w:szCs w:val="20"/>
                <w:lang w:val="en-GB" w:eastAsia="en-GB"/>
              </w:rPr>
              <w:t xml:space="preserve">its </w:t>
            </w:r>
            <w:r w:rsidRPr="00061CEF">
              <w:rPr>
                <w:rFonts w:eastAsia="Times New Roman" w:cs="Arial"/>
                <w:color w:val="000000"/>
                <w:sz w:val="20"/>
                <w:szCs w:val="20"/>
                <w:lang w:val="en-GB" w:eastAsia="en-GB"/>
              </w:rPr>
              <w:t xml:space="preserve">vote analysis process, and </w:t>
            </w:r>
            <w:r>
              <w:rPr>
                <w:rFonts w:eastAsia="Times New Roman" w:cs="Arial"/>
                <w:color w:val="000000"/>
                <w:sz w:val="20"/>
                <w:szCs w:val="20"/>
                <w:lang w:val="en-GB" w:eastAsia="en-GB"/>
              </w:rPr>
              <w:t xml:space="preserve">it </w:t>
            </w:r>
            <w:r w:rsidRPr="00061CEF">
              <w:rPr>
                <w:rFonts w:eastAsia="Times New Roman" w:cs="Arial"/>
                <w:color w:val="000000"/>
                <w:sz w:val="20"/>
                <w:szCs w:val="20"/>
                <w:lang w:val="en-GB" w:eastAsia="en-GB"/>
              </w:rPr>
              <w:t>do</w:t>
            </w:r>
            <w:r>
              <w:rPr>
                <w:rFonts w:eastAsia="Times New Roman" w:cs="Arial"/>
                <w:color w:val="000000"/>
                <w:sz w:val="20"/>
                <w:szCs w:val="20"/>
                <w:lang w:val="en-GB" w:eastAsia="en-GB"/>
              </w:rPr>
              <w:t>es</w:t>
            </w:r>
            <w:r w:rsidRPr="00061CEF">
              <w:rPr>
                <w:rFonts w:eastAsia="Times New Roman" w:cs="Arial"/>
                <w:color w:val="000000"/>
                <w:sz w:val="20"/>
                <w:szCs w:val="20"/>
                <w:lang w:val="en-GB" w:eastAsia="en-GB"/>
              </w:rPr>
              <w:t xml:space="preserve"> not blindly follow their recommendations on how to vote. </w:t>
            </w:r>
            <w:r>
              <w:rPr>
                <w:rFonts w:eastAsia="Times New Roman" w:cs="Arial"/>
                <w:color w:val="000000"/>
                <w:sz w:val="20"/>
                <w:szCs w:val="20"/>
                <w:lang w:val="en-GB" w:eastAsia="en-GB"/>
              </w:rPr>
              <w:t xml:space="preserve">BlackRock </w:t>
            </w:r>
            <w:r w:rsidRPr="00061CEF">
              <w:rPr>
                <w:rFonts w:eastAsia="Times New Roman" w:cs="Arial"/>
                <w:color w:val="000000"/>
                <w:sz w:val="20"/>
                <w:szCs w:val="20"/>
                <w:lang w:val="en-GB" w:eastAsia="en-GB"/>
              </w:rPr>
              <w:t>do</w:t>
            </w:r>
            <w:r>
              <w:rPr>
                <w:rFonts w:eastAsia="Times New Roman" w:cs="Arial"/>
                <w:color w:val="000000"/>
                <w:sz w:val="20"/>
                <w:szCs w:val="20"/>
                <w:lang w:val="en-GB" w:eastAsia="en-GB"/>
              </w:rPr>
              <w:t>es</w:t>
            </w:r>
            <w:r w:rsidRPr="00061CEF">
              <w:rPr>
                <w:rFonts w:eastAsia="Times New Roman" w:cs="Arial"/>
                <w:color w:val="000000"/>
                <w:sz w:val="20"/>
                <w:szCs w:val="20"/>
                <w:lang w:val="en-GB" w:eastAsia="en-GB"/>
              </w:rPr>
              <w:t xml:space="preserve"> not follow any single proxy research firm’s voting recommendations</w:t>
            </w:r>
            <w:r>
              <w:rPr>
                <w:rFonts w:eastAsia="Times New Roman" w:cs="Arial"/>
                <w:color w:val="000000"/>
                <w:sz w:val="20"/>
                <w:szCs w:val="20"/>
                <w:lang w:val="en-GB" w:eastAsia="en-GB"/>
              </w:rPr>
              <w:t xml:space="preserve">. It </w:t>
            </w:r>
            <w:r w:rsidRPr="00061CEF">
              <w:rPr>
                <w:rFonts w:eastAsia="Times New Roman" w:cs="Arial"/>
                <w:color w:val="000000"/>
                <w:sz w:val="20"/>
                <w:szCs w:val="20"/>
                <w:lang w:val="en-GB" w:eastAsia="en-GB"/>
              </w:rPr>
              <w:t>subscribe</w:t>
            </w:r>
            <w:r>
              <w:rPr>
                <w:rFonts w:eastAsia="Times New Roman" w:cs="Arial"/>
                <w:color w:val="000000"/>
                <w:sz w:val="20"/>
                <w:szCs w:val="20"/>
                <w:lang w:val="en-GB" w:eastAsia="en-GB"/>
              </w:rPr>
              <w:t>s</w:t>
            </w:r>
            <w:r w:rsidRPr="00061CEF">
              <w:rPr>
                <w:rFonts w:eastAsia="Times New Roman" w:cs="Arial"/>
                <w:color w:val="000000"/>
                <w:sz w:val="20"/>
                <w:szCs w:val="20"/>
                <w:lang w:val="en-GB" w:eastAsia="en-GB"/>
              </w:rPr>
              <w:t xml:space="preserve"> to two research providers and use</w:t>
            </w:r>
            <w:r>
              <w:rPr>
                <w:rFonts w:eastAsia="Times New Roman" w:cs="Arial"/>
                <w:color w:val="000000"/>
                <w:sz w:val="20"/>
                <w:szCs w:val="20"/>
                <w:lang w:val="en-GB" w:eastAsia="en-GB"/>
              </w:rPr>
              <w:t>s</w:t>
            </w:r>
            <w:r w:rsidRPr="00061CEF">
              <w:rPr>
                <w:rFonts w:eastAsia="Times New Roman" w:cs="Arial"/>
                <w:color w:val="000000"/>
                <w:sz w:val="20"/>
                <w:szCs w:val="20"/>
                <w:lang w:val="en-GB" w:eastAsia="en-GB"/>
              </w:rPr>
              <w:t xml:space="preserve"> several other inputs</w:t>
            </w:r>
            <w:r>
              <w:rPr>
                <w:rFonts w:eastAsia="Times New Roman" w:cs="Arial"/>
                <w:color w:val="000000"/>
                <w:sz w:val="20"/>
                <w:szCs w:val="20"/>
                <w:lang w:val="en-GB" w:eastAsia="en-GB"/>
              </w:rPr>
              <w:t xml:space="preserve"> in its voting and engagement analysis</w:t>
            </w:r>
            <w:r w:rsidRPr="00061CEF">
              <w:rPr>
                <w:rFonts w:eastAsia="Times New Roman" w:cs="Arial"/>
                <w:color w:val="000000"/>
                <w:sz w:val="20"/>
                <w:szCs w:val="20"/>
                <w:lang w:val="en-GB" w:eastAsia="en-GB"/>
              </w:rPr>
              <w:t>, including a company’s own disclosures</w:t>
            </w:r>
            <w:r>
              <w:rPr>
                <w:rFonts w:eastAsia="Times New Roman" w:cs="Arial"/>
                <w:color w:val="000000"/>
                <w:sz w:val="20"/>
                <w:szCs w:val="20"/>
                <w:lang w:val="en-GB" w:eastAsia="en-GB"/>
              </w:rPr>
              <w:t xml:space="preserve">, public information and ESG research. </w:t>
            </w:r>
            <w:r w:rsidRPr="00061CEF">
              <w:rPr>
                <w:rFonts w:eastAsia="Times New Roman" w:cs="Arial"/>
                <w:color w:val="000000"/>
                <w:sz w:val="20"/>
                <w:szCs w:val="20"/>
                <w:lang w:val="en-GB" w:eastAsia="en-GB"/>
              </w:rPr>
              <w:t xml:space="preserve"> </w:t>
            </w:r>
          </w:p>
          <w:p w14:paraId="5D72EB93" w14:textId="569BD8D2" w:rsidR="00DB3F4F" w:rsidRPr="00734D9B" w:rsidRDefault="00DB3F4F" w:rsidP="00DB3F4F">
            <w:pPr>
              <w:spacing w:after="120"/>
              <w:jc w:val="both"/>
              <w:rPr>
                <w:rFonts w:eastAsia="Times New Roman" w:cs="Arial"/>
                <w:color w:val="000000"/>
                <w:sz w:val="20"/>
                <w:szCs w:val="20"/>
                <w:lang w:val="en-GB" w:eastAsia="en-GB"/>
              </w:rPr>
            </w:pPr>
            <w:r w:rsidRPr="00967E8A">
              <w:rPr>
                <w:rFonts w:eastAsia="Times New Roman" w:cs="Arial"/>
                <w:color w:val="000000"/>
                <w:sz w:val="20"/>
                <w:szCs w:val="20"/>
                <w:lang w:val="en-GB" w:eastAsia="en-GB"/>
              </w:rPr>
              <w:t>BlackRock uses Institutional Shareholder Services’ (ISS) electronic platform to execute vote instructions, manage client accounts in relation to voting and facilitate client reporting on voting. In certain markets, BlackRock works with proxy research firms who apply our proxy voting guidelines to filter out routine or non-contentious proposals and refer to us any meetings where additional research and possibly engagement might be required to inform our voting decision.</w:t>
            </w:r>
          </w:p>
        </w:tc>
      </w:tr>
      <w:tr w:rsidR="00E75D49" w:rsidRPr="004C2CEB" w14:paraId="2323C366"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5B5A35A0" w14:textId="77777777" w:rsidR="00E75D49" w:rsidRDefault="00E75D49" w:rsidP="00E75D49">
            <w:pPr>
              <w:pStyle w:val="NormalWeb"/>
              <w:spacing w:before="0" w:beforeAutospacing="0" w:after="0" w:afterAutospacing="0"/>
              <w:jc w:val="center"/>
              <w:rPr>
                <w:rFonts w:asciiTheme="minorHAnsi" w:eastAsia="Calibri" w:hAnsiTheme="minorHAnsi" w:cs="Arial"/>
                <w:b/>
                <w:bCs/>
                <w:kern w:val="24"/>
                <w:sz w:val="20"/>
                <w:szCs w:val="20"/>
              </w:rPr>
            </w:pPr>
            <w:r w:rsidRPr="001C788E">
              <w:rPr>
                <w:rFonts w:asciiTheme="minorHAnsi" w:eastAsia="Calibri" w:hAnsiTheme="minorHAnsi" w:cs="Arial"/>
                <w:b/>
                <w:bCs/>
                <w:kern w:val="24"/>
                <w:sz w:val="20"/>
                <w:szCs w:val="20"/>
              </w:rPr>
              <w:t>YUM! Brands, Inc. (Yum!)</w:t>
            </w:r>
          </w:p>
          <w:p w14:paraId="2EC82826" w14:textId="77777777" w:rsidR="00E75D49" w:rsidRDefault="00E75D49" w:rsidP="00E75D49">
            <w:pPr>
              <w:pStyle w:val="NormalWeb"/>
              <w:spacing w:before="0" w:beforeAutospacing="0" w:after="0" w:afterAutospacing="0"/>
              <w:jc w:val="center"/>
              <w:rPr>
                <w:rFonts w:asciiTheme="minorHAnsi" w:eastAsia="Calibri" w:hAnsiTheme="minorHAnsi" w:cs="Arial"/>
                <w:kern w:val="24"/>
                <w:sz w:val="17"/>
                <w:szCs w:val="17"/>
              </w:rPr>
            </w:pPr>
            <w:r w:rsidRPr="00020992">
              <w:rPr>
                <w:rFonts w:asciiTheme="minorHAnsi" w:eastAsia="Calibri" w:hAnsiTheme="minorHAnsi" w:cs="Arial"/>
                <w:kern w:val="24"/>
                <w:sz w:val="17"/>
                <w:szCs w:val="17"/>
              </w:rPr>
              <w:t>(US restaurant company</w:t>
            </w:r>
          </w:p>
          <w:p w14:paraId="4FB8F84B" w14:textId="77777777" w:rsidR="00E75D49" w:rsidRDefault="00E75D49" w:rsidP="00E75D49">
            <w:pPr>
              <w:pStyle w:val="NormalWeb"/>
              <w:spacing w:before="0" w:beforeAutospacing="0" w:after="0" w:afterAutospacing="0"/>
              <w:jc w:val="center"/>
              <w:rPr>
                <w:rFonts w:asciiTheme="minorHAnsi" w:eastAsia="Calibri" w:hAnsiTheme="minorHAnsi" w:cs="Arial"/>
                <w:kern w:val="24"/>
                <w:sz w:val="17"/>
                <w:szCs w:val="17"/>
              </w:rPr>
            </w:pPr>
          </w:p>
          <w:p w14:paraId="061A41D2" w14:textId="77777777" w:rsidR="00E75D49" w:rsidRDefault="00E75D49" w:rsidP="00E75D49">
            <w:pPr>
              <w:pStyle w:val="NormalWeb"/>
              <w:spacing w:before="0" w:beforeAutospacing="0" w:after="0" w:afterAutospacing="0"/>
              <w:jc w:val="center"/>
              <w:rPr>
                <w:rFonts w:asciiTheme="minorHAnsi" w:eastAsia="Calibri" w:hAnsiTheme="minorHAnsi" w:cs="Arial"/>
                <w:kern w:val="24"/>
                <w:sz w:val="17"/>
                <w:szCs w:val="17"/>
              </w:rPr>
            </w:pPr>
          </w:p>
          <w:p w14:paraId="6BA1DBFA" w14:textId="4DB25479" w:rsidR="00E75D49" w:rsidRPr="000F12A1" w:rsidRDefault="00E75D49" w:rsidP="00E75D49">
            <w:pPr>
              <w:pStyle w:val="NormalWeb"/>
              <w:spacing w:before="0" w:beforeAutospacing="0" w:after="0" w:afterAutospacing="0"/>
              <w:rPr>
                <w:rFonts w:asciiTheme="minorHAnsi" w:eastAsia="Calibri" w:hAnsiTheme="minorHAnsi" w:cs="Arial"/>
                <w:color w:val="000000" w:themeColor="text1"/>
                <w:kern w:val="24"/>
                <w:sz w:val="17"/>
                <w:szCs w:val="17"/>
              </w:rPr>
            </w:pP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22773237" w14:textId="77777777" w:rsidR="00E75D49" w:rsidRDefault="00E75D49" w:rsidP="00E75D49">
            <w:pPr>
              <w:spacing w:after="120"/>
              <w:jc w:val="both"/>
              <w:rPr>
                <w:rFonts w:eastAsia="Times New Roman" w:cs="Arial"/>
                <w:sz w:val="20"/>
                <w:szCs w:val="20"/>
                <w:lang w:val="en-GB" w:eastAsia="en-GB"/>
              </w:rPr>
            </w:pPr>
            <w:r w:rsidRPr="00D06280">
              <w:rPr>
                <w:rFonts w:eastAsia="Times New Roman" w:cs="Arial"/>
                <w:sz w:val="20"/>
                <w:szCs w:val="20"/>
                <w:lang w:val="en-GB" w:eastAsia="en-GB"/>
              </w:rPr>
              <w:t xml:space="preserve">YUM! Brands, Inc. (Yum!) is a restaurant company that owns and operates the KFC, Pizza Hut, Taco Bell, and The Habit Burger Grill restaurant franchises. </w:t>
            </w:r>
          </w:p>
          <w:p w14:paraId="51CE2678" w14:textId="77777777" w:rsidR="00E75D49" w:rsidRDefault="00E75D49" w:rsidP="00E75D49">
            <w:pPr>
              <w:spacing w:after="120"/>
              <w:jc w:val="both"/>
              <w:rPr>
                <w:rFonts w:eastAsia="Times New Roman" w:cs="Arial"/>
                <w:sz w:val="20"/>
                <w:szCs w:val="20"/>
                <w:lang w:val="en-GB" w:eastAsia="en-GB"/>
              </w:rPr>
            </w:pPr>
            <w:r w:rsidRPr="00D06280">
              <w:rPr>
                <w:rFonts w:eastAsia="Times New Roman" w:cs="Arial"/>
                <w:sz w:val="20"/>
                <w:szCs w:val="20"/>
                <w:lang w:val="en-GB" w:eastAsia="en-GB"/>
              </w:rPr>
              <w:t>At the May 2023 AGM there were five shareholder proposals. Ahead of the May 2023 AGM, BIS engaged with members of Yum!’s management team to help inform their voting and sought to further their understanding of the matters on which shareholders requested additional disclosure and assess the business relevance and financial implications of each proposal. BIS did not believe it was in the financial interests of our clients to support these shareholder proposals and as such BIS voted against all 5 of the shareholder proposals, which was in line with management’s recommendation. Of the 5 shareholder proposals, 2 of these were withdrawn and the remaining 3 were not passed.</w:t>
            </w:r>
          </w:p>
          <w:p w14:paraId="6CA6B62A" w14:textId="77777777" w:rsidR="00E75D49" w:rsidRDefault="00E75D49" w:rsidP="00E75D49">
            <w:pPr>
              <w:spacing w:after="120"/>
              <w:jc w:val="both"/>
              <w:rPr>
                <w:rFonts w:eastAsia="Times New Roman" w:cs="Arial"/>
                <w:sz w:val="20"/>
                <w:szCs w:val="20"/>
                <w:lang w:val="en-GB" w:eastAsia="en-GB"/>
              </w:rPr>
            </w:pPr>
            <w:r w:rsidRPr="00D06280">
              <w:rPr>
                <w:rFonts w:eastAsia="Times New Roman" w:cs="Arial"/>
                <w:sz w:val="20"/>
                <w:szCs w:val="20"/>
                <w:lang w:val="en-GB" w:eastAsia="en-GB"/>
              </w:rPr>
              <w:t>One shareholder proposal addressed the company’s plans to reduce single-use plastic packaging. This shareholder proposal requested that Yum!’s board issue a report “…describing how the Company will reduce its plastics use by shifting away from single-use packaging…” in response to recent regulatory trends in certain jurisdictions which have levied taxes on and/or banned the use of single-use plastic products. The proposal further clarified that such a report should explicitly “evaluate dramatically reducing the amount of plastic” used in the company’s packaging.</w:t>
            </w:r>
          </w:p>
          <w:p w14:paraId="52A74AAA" w14:textId="77777777" w:rsidR="00E75D49" w:rsidRPr="00D06280" w:rsidRDefault="00E75D49" w:rsidP="00E75D49">
            <w:pPr>
              <w:pStyle w:val="NormalWeb"/>
              <w:rPr>
                <w:rFonts w:asciiTheme="minorHAnsi" w:eastAsia="Times New Roman" w:hAnsiTheme="minorHAnsi" w:cs="Arial"/>
                <w:sz w:val="20"/>
                <w:szCs w:val="20"/>
              </w:rPr>
            </w:pPr>
            <w:r w:rsidRPr="00D06280">
              <w:rPr>
                <w:rFonts w:asciiTheme="minorHAnsi" w:eastAsia="Times New Roman" w:hAnsiTheme="minorHAnsi" w:cs="Arial"/>
                <w:sz w:val="20"/>
                <w:szCs w:val="20"/>
              </w:rPr>
              <w:t>BIS did not support this proposal, which requested Yum! to issue a report detailing the company’s efforts to reduce plastics use. In their analysis, Yum!’s existing disclosures on plastics use – particularly their new packaging policy and reduction goals – are comprehensive and provide sufficient information to allow investors to understand the company’s approach to managing the risks of plastics use.</w:t>
            </w:r>
          </w:p>
          <w:p w14:paraId="1F79EA71" w14:textId="572E16FE" w:rsidR="00E75D49" w:rsidRPr="001B0C11" w:rsidRDefault="00E75D49" w:rsidP="00E75D49">
            <w:pPr>
              <w:spacing w:after="120"/>
              <w:jc w:val="both"/>
              <w:rPr>
                <w:rFonts w:eastAsia="Times New Roman" w:cs="Arial"/>
                <w:color w:val="000000"/>
                <w:sz w:val="20"/>
                <w:szCs w:val="20"/>
                <w:lang w:val="en-GB" w:eastAsia="en-GB"/>
              </w:rPr>
            </w:pPr>
            <w:r w:rsidRPr="00D06280">
              <w:rPr>
                <w:rFonts w:eastAsia="Times New Roman" w:cs="Arial"/>
                <w:sz w:val="20"/>
                <w:szCs w:val="20"/>
                <w:lang w:val="en-GB" w:eastAsia="en-GB"/>
              </w:rPr>
              <w:t xml:space="preserve">In July 2022, Yum! updated their sustainable packaging policy, outlining the actions they have taken and those that they plan to take to address the issue of plastic-based packaging. Among other things, the company set goals to eliminate unnecessary plastics use, reduce virgin plastic content by 10%, and move consumer-facing plastic packaging to be reusable, recyclable, or compostable by 2025 across all brands. BIS notes that there are areas where, in their assessment, Yum! could improve their disclosure, particularly in setting targets for reusable packaging. However, Yum!’s existing disclosures and commitments are sufficiently comprehensive for investors to understand their approach. BIS did not consider it necessary for shareholders to direct management to undertake a review of Yum!’s sustainable packaging policy and targets less than a year after these were introduced as they believed it was not in the financial interest of their clients to support the shareholder proposal.  </w:t>
            </w:r>
          </w:p>
        </w:tc>
      </w:tr>
      <w:tr w:rsidR="00E75D49" w:rsidRPr="004C2CEB" w14:paraId="07D9D2BB"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774E4D6D" w14:textId="77777777" w:rsidR="00E75D49" w:rsidRDefault="00E75D49" w:rsidP="00E75D49">
            <w:pPr>
              <w:pStyle w:val="NormalWeb"/>
              <w:spacing w:before="0" w:beforeAutospacing="0" w:after="0" w:afterAutospacing="0"/>
              <w:jc w:val="center"/>
              <w:rPr>
                <w:rFonts w:asciiTheme="minorHAnsi" w:eastAsia="Calibri" w:hAnsiTheme="minorHAnsi" w:cs="Arial"/>
                <w:b/>
                <w:bCs/>
                <w:kern w:val="24"/>
                <w:sz w:val="20"/>
                <w:szCs w:val="20"/>
              </w:rPr>
            </w:pPr>
            <w:r w:rsidRPr="006F4E9D">
              <w:rPr>
                <w:rFonts w:asciiTheme="minorHAnsi" w:eastAsia="Calibri" w:hAnsiTheme="minorHAnsi" w:cs="Arial"/>
                <w:b/>
                <w:bCs/>
                <w:kern w:val="24"/>
                <w:sz w:val="20"/>
                <w:szCs w:val="20"/>
              </w:rPr>
              <w:t>BE</w:t>
            </w:r>
            <w:r>
              <w:rPr>
                <w:rFonts w:asciiTheme="minorHAnsi" w:eastAsia="Calibri" w:hAnsiTheme="minorHAnsi" w:cs="Arial"/>
                <w:b/>
                <w:bCs/>
                <w:kern w:val="24"/>
                <w:sz w:val="20"/>
                <w:szCs w:val="20"/>
              </w:rPr>
              <w:t xml:space="preserve">         </w:t>
            </w:r>
            <w:r w:rsidRPr="006F4E9D">
              <w:rPr>
                <w:rFonts w:asciiTheme="minorHAnsi" w:eastAsia="Calibri" w:hAnsiTheme="minorHAnsi" w:cs="Arial"/>
                <w:b/>
                <w:bCs/>
                <w:kern w:val="24"/>
                <w:sz w:val="20"/>
                <w:szCs w:val="20"/>
              </w:rPr>
              <w:t xml:space="preserve">Semiconductor </w:t>
            </w:r>
            <w:r>
              <w:rPr>
                <w:rFonts w:asciiTheme="minorHAnsi" w:eastAsia="Calibri" w:hAnsiTheme="minorHAnsi" w:cs="Arial"/>
                <w:b/>
                <w:bCs/>
                <w:kern w:val="24"/>
                <w:sz w:val="20"/>
                <w:szCs w:val="20"/>
              </w:rPr>
              <w:t>Industries N.V (Besi)</w:t>
            </w:r>
          </w:p>
          <w:p w14:paraId="1CA2E5B7" w14:textId="4AEFE09E" w:rsidR="00E75D49" w:rsidRPr="006F4E9D" w:rsidRDefault="00E75D49" w:rsidP="008870F5">
            <w:pPr>
              <w:pStyle w:val="NormalWeb"/>
              <w:spacing w:before="0" w:beforeAutospacing="0" w:after="0" w:afterAutospacing="0"/>
              <w:jc w:val="center"/>
              <w:rPr>
                <w:rFonts w:asciiTheme="minorHAnsi" w:eastAsia="Calibri" w:hAnsiTheme="minorHAnsi" w:cs="Arial"/>
                <w:b/>
                <w:bCs/>
                <w:kern w:val="24"/>
                <w:sz w:val="20"/>
                <w:szCs w:val="20"/>
              </w:rPr>
            </w:pPr>
            <w:r w:rsidRPr="005700BC">
              <w:rPr>
                <w:rFonts w:asciiTheme="minorHAnsi" w:eastAsia="Calibri" w:hAnsiTheme="minorHAnsi" w:cs="Arial"/>
                <w:kern w:val="24"/>
                <w:sz w:val="17"/>
                <w:szCs w:val="17"/>
              </w:rPr>
              <w:t>(</w:t>
            </w:r>
            <w:r>
              <w:rPr>
                <w:rFonts w:asciiTheme="minorHAnsi" w:eastAsia="Calibri" w:hAnsiTheme="minorHAnsi" w:cs="Arial"/>
                <w:kern w:val="24"/>
                <w:sz w:val="17"/>
                <w:szCs w:val="17"/>
              </w:rPr>
              <w:t>Dutch manufacturer</w:t>
            </w:r>
            <w:r w:rsidRPr="005700BC">
              <w:rPr>
                <w:rFonts w:asciiTheme="minorHAnsi" w:eastAsia="Calibri" w:hAnsiTheme="minorHAnsi" w:cs="Arial"/>
                <w:kern w:val="24"/>
                <w:sz w:val="17"/>
                <w:szCs w:val="17"/>
              </w:rPr>
              <w:t>)</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606D4230" w14:textId="77777777" w:rsidR="00E75D49" w:rsidRPr="008E34F5" w:rsidRDefault="00E75D49" w:rsidP="00E75D49">
            <w:pPr>
              <w:spacing w:after="120"/>
              <w:jc w:val="both"/>
              <w:rPr>
                <w:rFonts w:eastAsia="Times New Roman" w:cs="Arial"/>
                <w:sz w:val="20"/>
                <w:szCs w:val="20"/>
                <w:lang w:val="en-GB" w:eastAsia="en-GB"/>
              </w:rPr>
            </w:pPr>
            <w:r w:rsidRPr="0053040E">
              <w:rPr>
                <w:sz w:val="20"/>
                <w:szCs w:val="20"/>
              </w:rPr>
              <w:t xml:space="preserve">Besi is a Dutch multinational company that designs and manufacturers semiconductor </w:t>
            </w:r>
            <w:r w:rsidRPr="008E34F5">
              <w:rPr>
                <w:rFonts w:eastAsia="Times New Roman" w:cs="Arial"/>
                <w:sz w:val="20"/>
                <w:szCs w:val="20"/>
                <w:lang w:val="en-GB" w:eastAsia="en-GB"/>
              </w:rPr>
              <w:t xml:space="preserve">equipment. BIS has regularly engaged with Besi due to poor remuneration practices. </w:t>
            </w:r>
          </w:p>
          <w:p w14:paraId="5A9106A0" w14:textId="77777777" w:rsidR="00E75D49" w:rsidRPr="008E34F5" w:rsidRDefault="00E75D49" w:rsidP="00E75D49">
            <w:pPr>
              <w:spacing w:after="120"/>
              <w:jc w:val="both"/>
              <w:rPr>
                <w:rFonts w:eastAsia="Times New Roman" w:cs="Arial"/>
                <w:sz w:val="20"/>
                <w:szCs w:val="20"/>
                <w:lang w:val="en-GB" w:eastAsia="en-GB"/>
              </w:rPr>
            </w:pPr>
            <w:r w:rsidRPr="008E34F5">
              <w:rPr>
                <w:rFonts w:eastAsia="Times New Roman" w:cs="Arial"/>
                <w:sz w:val="20"/>
                <w:szCs w:val="20"/>
                <w:lang w:val="en-GB" w:eastAsia="en-GB"/>
              </w:rPr>
              <w:t>At Besi’s 2020, 2021, and 2022 annual general meetings (AGMs), BIS did not support the company’s remuneration policy or remuneration report. This is because in BIS’ assessment, the remuneration practices led to excessive payouts.</w:t>
            </w:r>
          </w:p>
          <w:p w14:paraId="08B80424" w14:textId="77777777" w:rsidR="00E75D49" w:rsidRPr="008E34F5" w:rsidRDefault="00E75D49" w:rsidP="00E75D49">
            <w:pPr>
              <w:spacing w:after="120"/>
              <w:jc w:val="both"/>
              <w:rPr>
                <w:rFonts w:eastAsia="Times New Roman" w:cs="Arial"/>
                <w:sz w:val="20"/>
                <w:szCs w:val="20"/>
                <w:lang w:val="en-GB" w:eastAsia="en-GB"/>
              </w:rPr>
            </w:pPr>
            <w:r w:rsidRPr="008E34F5">
              <w:rPr>
                <w:rFonts w:eastAsia="Times New Roman" w:cs="Arial"/>
                <w:sz w:val="20"/>
                <w:szCs w:val="20"/>
                <w:lang w:val="en-GB" w:eastAsia="en-GB"/>
              </w:rPr>
              <w:t>At Besi’s 2023 AGM, BIS did not support the 2022 remuneration report given they continue to observe areas for improvement. For example, the metrics introduced were not challenging – the long-term incentive plan still vests for underperformance against peers on a total shareholder return basis. BIS also noted that the company used the same metrics in both the short- and long-term incentive plans, resulting in the rewarding of executives for the same performance twice.</w:t>
            </w:r>
          </w:p>
          <w:p w14:paraId="30535467" w14:textId="07AAC486" w:rsidR="00E75D49" w:rsidRDefault="00E75D49" w:rsidP="00E75D49">
            <w:pPr>
              <w:spacing w:after="120"/>
              <w:jc w:val="both"/>
              <w:rPr>
                <w:rFonts w:eastAsia="Times New Roman" w:cs="Arial"/>
                <w:color w:val="000000"/>
                <w:sz w:val="20"/>
                <w:szCs w:val="20"/>
                <w:lang w:val="en-GB" w:eastAsia="en-GB"/>
              </w:rPr>
            </w:pPr>
            <w:r w:rsidRPr="0053040E">
              <w:rPr>
                <w:sz w:val="20"/>
                <w:szCs w:val="20"/>
              </w:rPr>
              <w:t>However, contrary to the past years, at the 2023 AGM, BIS voted in favor of the 2024 remuneration policy. BIS note that Besi eliminated the ability of the remuneration committee to use discretion, introduced more stretching performance conditions, and limited the award potential to a percentage base salary to reduce the likelihood of excessive payouts. Furthermore, the company introduced share ownership guidelines for executives to reinforce their alignment with shareholders’ interests and established a more robust peer company selection process. Overall, BIS are highly encouraged by the company’s responsiveness to shareholder feedback and supported the 2024 remuneration policy proposal.</w:t>
            </w:r>
          </w:p>
        </w:tc>
      </w:tr>
      <w:tr w:rsidR="00877E81" w:rsidRPr="004C2CEB" w14:paraId="2DBF41FE"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hideMark/>
          </w:tcPr>
          <w:p w14:paraId="1C7EFDC7" w14:textId="77777777" w:rsidR="00877E81" w:rsidRDefault="00877E81" w:rsidP="00F73720">
            <w:pPr>
              <w:pStyle w:val="NormalWeb"/>
              <w:spacing w:before="0" w:beforeAutospacing="0" w:after="0" w:afterAutospacing="0"/>
              <w:rPr>
                <w:rFonts w:asciiTheme="minorHAnsi" w:eastAsia="Calibri" w:hAnsiTheme="minorHAnsi" w:cs="Arial"/>
                <w:b/>
                <w:bCs/>
                <w:color w:val="000000" w:themeColor="text1"/>
                <w:kern w:val="24"/>
                <w:sz w:val="20"/>
                <w:szCs w:val="20"/>
              </w:rPr>
            </w:pPr>
            <w:r w:rsidRPr="00734D9B">
              <w:rPr>
                <w:rFonts w:asciiTheme="minorHAnsi" w:eastAsia="Calibri" w:hAnsiTheme="minorHAnsi" w:cs="Arial"/>
                <w:b/>
                <w:bCs/>
                <w:color w:val="000000" w:themeColor="text1"/>
                <w:kern w:val="24"/>
                <w:sz w:val="20"/>
                <w:szCs w:val="20"/>
              </w:rPr>
              <w:t>BlackRock Europe Equities</w:t>
            </w:r>
          </w:p>
          <w:p w14:paraId="4EDA8DF0" w14:textId="77777777" w:rsidR="00877E81" w:rsidRPr="004C2CEB" w:rsidRDefault="00877E81" w:rsidP="00F73720">
            <w:pPr>
              <w:pStyle w:val="NormalWeb"/>
              <w:spacing w:before="0" w:beforeAutospacing="0" w:after="0" w:afterAutospacing="0"/>
              <w:rPr>
                <w:rFonts w:asciiTheme="minorHAnsi" w:hAnsiTheme="minorHAnsi" w:cs="Arial"/>
                <w:sz w:val="20"/>
                <w:szCs w:val="20"/>
              </w:rPr>
            </w:pPr>
            <w:r>
              <w:rPr>
                <w:rFonts w:asciiTheme="minorHAnsi" w:eastAsia="Calibri" w:hAnsiTheme="minorHAnsi" w:cs="Arial"/>
                <w:b/>
                <w:bCs/>
                <w:color w:val="000000" w:themeColor="text1"/>
                <w:kern w:val="24"/>
                <w:sz w:val="20"/>
                <w:szCs w:val="20"/>
              </w:rPr>
              <w:t>(Active)</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hideMark/>
          </w:tcPr>
          <w:tbl>
            <w:tblPr>
              <w:tblW w:w="7959" w:type="dxa"/>
              <w:tblLayout w:type="fixed"/>
              <w:tblLook w:val="04A0" w:firstRow="1" w:lastRow="0" w:firstColumn="1" w:lastColumn="0" w:noHBand="0" w:noVBand="1"/>
            </w:tblPr>
            <w:tblGrid>
              <w:gridCol w:w="5000"/>
              <w:gridCol w:w="2959"/>
            </w:tblGrid>
            <w:tr w:rsidR="00877E81" w:rsidRPr="00734D9B" w14:paraId="6B5CA1CC" w14:textId="77777777" w:rsidTr="00F73720">
              <w:trPr>
                <w:trHeight w:val="255"/>
              </w:trPr>
              <w:tc>
                <w:tcPr>
                  <w:tcW w:w="5000" w:type="dxa"/>
                  <w:tcBorders>
                    <w:top w:val="nil"/>
                    <w:left w:val="nil"/>
                    <w:bottom w:val="single" w:sz="4" w:space="0" w:color="A6A6A6" w:themeColor="background1" w:themeShade="A6"/>
                    <w:right w:val="nil"/>
                  </w:tcBorders>
                  <w:shd w:val="clear" w:color="auto" w:fill="auto"/>
                  <w:noWrap/>
                  <w:vAlign w:val="bottom"/>
                </w:tcPr>
                <w:p w14:paraId="31841771" w14:textId="77777777" w:rsidR="00877E81" w:rsidRPr="00734D9B" w:rsidRDefault="00877E81" w:rsidP="00F73720">
                  <w:pPr>
                    <w:rPr>
                      <w:rFonts w:eastAsia="Times New Roman" w:cs="Arial"/>
                      <w:color w:val="000000"/>
                      <w:sz w:val="20"/>
                      <w:szCs w:val="20"/>
                      <w:lang w:val="en-GB" w:eastAsia="en-GB"/>
                    </w:rPr>
                  </w:pPr>
                </w:p>
              </w:tc>
              <w:tc>
                <w:tcPr>
                  <w:tcW w:w="2959" w:type="dxa"/>
                  <w:tcBorders>
                    <w:top w:val="nil"/>
                    <w:left w:val="nil"/>
                    <w:bottom w:val="single" w:sz="4" w:space="0" w:color="A6A6A6" w:themeColor="background1" w:themeShade="A6"/>
                    <w:right w:val="nil"/>
                  </w:tcBorders>
                  <w:shd w:val="clear" w:color="auto" w:fill="auto"/>
                  <w:noWrap/>
                  <w:vAlign w:val="center"/>
                </w:tcPr>
                <w:p w14:paraId="33840911" w14:textId="3D41FEC7" w:rsidR="00877E81" w:rsidRPr="00734D9B" w:rsidRDefault="00877E81" w:rsidP="00F73720">
                  <w:pPr>
                    <w:jc w:val="center"/>
                    <w:rPr>
                      <w:rFonts w:eastAsia="Times New Roman" w:cs="Arial"/>
                      <w:b/>
                      <w:bCs/>
                      <w:color w:val="000000"/>
                      <w:sz w:val="20"/>
                      <w:szCs w:val="20"/>
                      <w:lang w:val="en-GB" w:eastAsia="en-GB"/>
                    </w:rPr>
                  </w:pPr>
                  <w:r>
                    <w:rPr>
                      <w:rFonts w:ascii="BLK Fort" w:hAnsi="BLK Fort" w:cs="Arial"/>
                      <w:b/>
                      <w:bCs/>
                      <w:color w:val="000000"/>
                      <w:sz w:val="20"/>
                      <w:szCs w:val="20"/>
                    </w:rPr>
                    <w:t xml:space="preserve">Year to </w:t>
                  </w:r>
                  <w:r w:rsidR="00ED127A">
                    <w:rPr>
                      <w:rFonts w:ascii="BLK Fort" w:hAnsi="BLK Fort" w:cs="Arial"/>
                      <w:b/>
                      <w:bCs/>
                      <w:color w:val="000000"/>
                      <w:sz w:val="20"/>
                      <w:szCs w:val="20"/>
                    </w:rPr>
                    <w:t>31 March 202</w:t>
                  </w:r>
                  <w:r w:rsidR="00E75D49">
                    <w:rPr>
                      <w:rFonts w:ascii="BLK Fort" w:hAnsi="BLK Fort" w:cs="Arial"/>
                      <w:b/>
                      <w:bCs/>
                      <w:color w:val="000000"/>
                      <w:sz w:val="20"/>
                      <w:szCs w:val="20"/>
                    </w:rPr>
                    <w:t>4</w:t>
                  </w:r>
                </w:p>
              </w:tc>
            </w:tr>
            <w:tr w:rsidR="00E75D49" w:rsidRPr="00734D9B" w14:paraId="633C099B" w14:textId="77777777" w:rsidTr="008615BF">
              <w:trPr>
                <w:trHeight w:val="255"/>
              </w:trPr>
              <w:tc>
                <w:tcPr>
                  <w:tcW w:w="5000" w:type="dxa"/>
                  <w:tcBorders>
                    <w:top w:val="single" w:sz="4" w:space="0" w:color="A6A6A6" w:themeColor="background1" w:themeShade="A6"/>
                    <w:left w:val="nil"/>
                    <w:right w:val="nil"/>
                  </w:tcBorders>
                  <w:shd w:val="clear" w:color="auto" w:fill="auto"/>
                  <w:noWrap/>
                  <w:vAlign w:val="bottom"/>
                </w:tcPr>
                <w:p w14:paraId="5BB7FA08" w14:textId="77777777" w:rsidR="00E75D49" w:rsidRPr="008E52EF" w:rsidRDefault="00E75D49" w:rsidP="00E75D49">
                  <w:pPr>
                    <w:rPr>
                      <w:rFonts w:eastAsia="Times New Roman" w:cs="Arial"/>
                      <w:sz w:val="20"/>
                      <w:szCs w:val="20"/>
                      <w:lang w:val="en-GB" w:eastAsia="en-GB"/>
                    </w:rPr>
                  </w:pPr>
                  <w:r w:rsidRPr="008E52EF">
                    <w:rPr>
                      <w:rFonts w:eastAsia="Times New Roman" w:cs="Arial"/>
                      <w:sz w:val="20"/>
                      <w:szCs w:val="20"/>
                      <w:lang w:val="en-GB" w:eastAsia="en-GB"/>
                    </w:rPr>
                    <w:t>Votable proposals</w:t>
                  </w:r>
                </w:p>
              </w:tc>
              <w:tc>
                <w:tcPr>
                  <w:tcW w:w="2959" w:type="dxa"/>
                  <w:tcBorders>
                    <w:top w:val="single" w:sz="4" w:space="0" w:color="A6A6A6" w:themeColor="background1" w:themeShade="A6"/>
                    <w:left w:val="nil"/>
                    <w:right w:val="nil"/>
                  </w:tcBorders>
                  <w:shd w:val="clear" w:color="auto" w:fill="auto"/>
                  <w:noWrap/>
                </w:tcPr>
                <w:p w14:paraId="3BFFE68A" w14:textId="23458A75" w:rsidR="00E75D49" w:rsidRPr="00C014BE" w:rsidRDefault="00E75D49" w:rsidP="00E75D49">
                  <w:pPr>
                    <w:jc w:val="center"/>
                    <w:rPr>
                      <w:rFonts w:eastAsia="Times New Roman" w:cs="Arial"/>
                      <w:sz w:val="20"/>
                      <w:szCs w:val="20"/>
                      <w:lang w:val="en-GB" w:eastAsia="en-GB"/>
                    </w:rPr>
                  </w:pPr>
                  <w:r>
                    <w:t>843</w:t>
                  </w:r>
                </w:p>
              </w:tc>
            </w:tr>
            <w:tr w:rsidR="00E75D49" w:rsidRPr="00734D9B" w14:paraId="5F8F8001" w14:textId="77777777" w:rsidTr="008615BF">
              <w:trPr>
                <w:trHeight w:val="255"/>
              </w:trPr>
              <w:tc>
                <w:tcPr>
                  <w:tcW w:w="5000" w:type="dxa"/>
                  <w:tcBorders>
                    <w:left w:val="nil"/>
                    <w:bottom w:val="nil"/>
                    <w:right w:val="nil"/>
                  </w:tcBorders>
                  <w:shd w:val="clear" w:color="auto" w:fill="auto"/>
                  <w:noWrap/>
                  <w:vAlign w:val="bottom"/>
                  <w:hideMark/>
                </w:tcPr>
                <w:p w14:paraId="11497879" w14:textId="77777777" w:rsidR="00E75D49" w:rsidRPr="008E52EF" w:rsidRDefault="00E75D49" w:rsidP="00E75D49">
                  <w:pPr>
                    <w:rPr>
                      <w:rFonts w:eastAsia="Times New Roman" w:cs="Arial"/>
                      <w:sz w:val="20"/>
                      <w:szCs w:val="20"/>
                      <w:lang w:val="en-GB" w:eastAsia="en-GB"/>
                    </w:rPr>
                  </w:pPr>
                  <w:r w:rsidRPr="008E52EF">
                    <w:rPr>
                      <w:rFonts w:eastAsia="Times New Roman" w:cs="Arial"/>
                      <w:sz w:val="20"/>
                      <w:szCs w:val="20"/>
                      <w:lang w:val="en-GB" w:eastAsia="en-GB"/>
                    </w:rPr>
                    <w:t>% of resolutions voted</w:t>
                  </w:r>
                </w:p>
              </w:tc>
              <w:tc>
                <w:tcPr>
                  <w:tcW w:w="2959" w:type="dxa"/>
                  <w:tcBorders>
                    <w:left w:val="nil"/>
                    <w:bottom w:val="nil"/>
                    <w:right w:val="nil"/>
                  </w:tcBorders>
                  <w:shd w:val="clear" w:color="auto" w:fill="auto"/>
                  <w:noWrap/>
                </w:tcPr>
                <w:p w14:paraId="4A9F626B" w14:textId="3DDD5F7B" w:rsidR="00E75D49" w:rsidRPr="00C014BE" w:rsidRDefault="00E75D49" w:rsidP="00E75D49">
                  <w:pPr>
                    <w:jc w:val="center"/>
                    <w:rPr>
                      <w:rFonts w:eastAsia="Times New Roman" w:cs="Arial"/>
                      <w:sz w:val="20"/>
                      <w:szCs w:val="20"/>
                      <w:lang w:val="en-GB" w:eastAsia="en-GB"/>
                    </w:rPr>
                  </w:pPr>
                  <w:r w:rsidRPr="0084450C">
                    <w:t>8</w:t>
                  </w:r>
                  <w:r>
                    <w:t>2</w:t>
                  </w:r>
                  <w:r w:rsidRPr="0084450C">
                    <w:t>%</w:t>
                  </w:r>
                </w:p>
              </w:tc>
            </w:tr>
            <w:tr w:rsidR="00E75D49" w:rsidRPr="00734D9B" w14:paraId="3088A414" w14:textId="77777777" w:rsidTr="008615BF">
              <w:trPr>
                <w:trHeight w:val="255"/>
              </w:trPr>
              <w:tc>
                <w:tcPr>
                  <w:tcW w:w="5000" w:type="dxa"/>
                  <w:tcBorders>
                    <w:top w:val="nil"/>
                    <w:left w:val="nil"/>
                    <w:bottom w:val="nil"/>
                    <w:right w:val="nil"/>
                  </w:tcBorders>
                  <w:shd w:val="clear" w:color="auto" w:fill="auto"/>
                  <w:noWrap/>
                  <w:vAlign w:val="bottom"/>
                  <w:hideMark/>
                </w:tcPr>
                <w:p w14:paraId="1F2E9E1A" w14:textId="77777777" w:rsidR="00E75D49" w:rsidRPr="008E52EF" w:rsidRDefault="00E75D49" w:rsidP="00E75D49">
                  <w:pPr>
                    <w:rPr>
                      <w:rFonts w:eastAsia="Times New Roman" w:cs="Arial"/>
                      <w:sz w:val="20"/>
                      <w:szCs w:val="20"/>
                      <w:lang w:val="en-GB" w:eastAsia="en-GB"/>
                    </w:rPr>
                  </w:pPr>
                  <w:r w:rsidRPr="008E52EF">
                    <w:rPr>
                      <w:rFonts w:eastAsia="Times New Roman" w:cs="Arial"/>
                      <w:sz w:val="20"/>
                      <w:szCs w:val="20"/>
                      <w:lang w:val="en-GB" w:eastAsia="en-GB"/>
                    </w:rPr>
                    <w:t>% of resolutions voted against management</w:t>
                  </w:r>
                </w:p>
              </w:tc>
              <w:tc>
                <w:tcPr>
                  <w:tcW w:w="2959" w:type="dxa"/>
                  <w:tcBorders>
                    <w:top w:val="nil"/>
                    <w:left w:val="nil"/>
                    <w:bottom w:val="nil"/>
                    <w:right w:val="nil"/>
                  </w:tcBorders>
                  <w:shd w:val="clear" w:color="auto" w:fill="auto"/>
                  <w:noWrap/>
                </w:tcPr>
                <w:p w14:paraId="5A7408F6" w14:textId="79CAEBC2" w:rsidR="00E75D49" w:rsidRPr="00C014BE" w:rsidRDefault="00E75D49" w:rsidP="00E75D49">
                  <w:pPr>
                    <w:jc w:val="center"/>
                    <w:rPr>
                      <w:rFonts w:eastAsia="Times New Roman" w:cs="Arial"/>
                      <w:sz w:val="20"/>
                      <w:szCs w:val="20"/>
                      <w:lang w:val="en-GB" w:eastAsia="en-GB"/>
                    </w:rPr>
                  </w:pPr>
                  <w:r>
                    <w:t>6</w:t>
                  </w:r>
                  <w:r w:rsidRPr="0084450C">
                    <w:t>%</w:t>
                  </w:r>
                </w:p>
              </w:tc>
            </w:tr>
            <w:tr w:rsidR="00E75D49" w:rsidRPr="00734D9B" w14:paraId="10491CD1" w14:textId="77777777" w:rsidTr="008615BF">
              <w:trPr>
                <w:trHeight w:val="255"/>
              </w:trPr>
              <w:tc>
                <w:tcPr>
                  <w:tcW w:w="5000" w:type="dxa"/>
                  <w:tcBorders>
                    <w:top w:val="nil"/>
                    <w:left w:val="nil"/>
                    <w:bottom w:val="nil"/>
                    <w:right w:val="nil"/>
                  </w:tcBorders>
                  <w:shd w:val="clear" w:color="auto" w:fill="auto"/>
                  <w:noWrap/>
                  <w:vAlign w:val="bottom"/>
                  <w:hideMark/>
                </w:tcPr>
                <w:p w14:paraId="050B5D86" w14:textId="77777777" w:rsidR="00E75D49" w:rsidRPr="008E52EF" w:rsidRDefault="00E75D49" w:rsidP="00E75D49">
                  <w:pPr>
                    <w:rPr>
                      <w:rFonts w:eastAsia="Times New Roman" w:cs="Arial"/>
                      <w:sz w:val="20"/>
                      <w:szCs w:val="20"/>
                      <w:lang w:val="en-GB" w:eastAsia="en-GB"/>
                    </w:rPr>
                  </w:pPr>
                  <w:r w:rsidRPr="008E52EF">
                    <w:rPr>
                      <w:rFonts w:eastAsia="Times New Roman" w:cs="Arial"/>
                      <w:sz w:val="20"/>
                      <w:szCs w:val="20"/>
                      <w:lang w:val="en-GB" w:eastAsia="en-GB"/>
                    </w:rPr>
                    <w:t xml:space="preserve">% of resolutions abstained </w:t>
                  </w:r>
                </w:p>
              </w:tc>
              <w:tc>
                <w:tcPr>
                  <w:tcW w:w="2959" w:type="dxa"/>
                  <w:tcBorders>
                    <w:top w:val="nil"/>
                    <w:left w:val="nil"/>
                    <w:bottom w:val="nil"/>
                    <w:right w:val="nil"/>
                  </w:tcBorders>
                  <w:shd w:val="clear" w:color="auto" w:fill="auto"/>
                  <w:noWrap/>
                </w:tcPr>
                <w:p w14:paraId="200F9162" w14:textId="7C51B8F0" w:rsidR="00E75D49" w:rsidRPr="00C014BE" w:rsidRDefault="00E75D49" w:rsidP="00E75D49">
                  <w:pPr>
                    <w:jc w:val="center"/>
                    <w:rPr>
                      <w:rFonts w:eastAsia="Times New Roman" w:cs="Arial"/>
                      <w:sz w:val="20"/>
                      <w:szCs w:val="20"/>
                      <w:lang w:val="en-GB" w:eastAsia="en-GB"/>
                    </w:rPr>
                  </w:pPr>
                  <w:r>
                    <w:t>1</w:t>
                  </w:r>
                  <w:r w:rsidRPr="0084450C">
                    <w:t>%</w:t>
                  </w:r>
                </w:p>
              </w:tc>
            </w:tr>
          </w:tbl>
          <w:p w14:paraId="5FE34AF3" w14:textId="77777777" w:rsidR="00877E81" w:rsidRPr="004C2CEB" w:rsidRDefault="00877E81" w:rsidP="00F73720">
            <w:pPr>
              <w:rPr>
                <w:rFonts w:eastAsia="Calibri" w:cs="Arial"/>
                <w:color w:val="000000" w:themeColor="text1"/>
                <w:kern w:val="24"/>
                <w:sz w:val="20"/>
                <w:szCs w:val="20"/>
              </w:rPr>
            </w:pPr>
          </w:p>
        </w:tc>
      </w:tr>
      <w:tr w:rsidR="00877E81" w:rsidRPr="004C2CEB" w14:paraId="3F5321E7"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tcPr>
          <w:p w14:paraId="1D536E77" w14:textId="77777777" w:rsidR="00877E81" w:rsidRDefault="00877E81" w:rsidP="00F73720">
            <w:pPr>
              <w:pStyle w:val="NormalWeb"/>
              <w:spacing w:before="0" w:beforeAutospacing="0" w:after="0" w:afterAutospacing="0"/>
              <w:rPr>
                <w:rFonts w:asciiTheme="minorHAnsi" w:eastAsia="Calibri" w:hAnsiTheme="minorHAnsi" w:cs="Arial"/>
                <w:b/>
                <w:bCs/>
                <w:color w:val="000000" w:themeColor="text1"/>
                <w:kern w:val="24"/>
                <w:sz w:val="20"/>
                <w:szCs w:val="20"/>
              </w:rPr>
            </w:pPr>
            <w:r w:rsidRPr="00734D9B">
              <w:rPr>
                <w:rFonts w:asciiTheme="minorHAnsi" w:eastAsia="Calibri" w:hAnsiTheme="minorHAnsi" w:cs="Arial"/>
                <w:b/>
                <w:bCs/>
                <w:color w:val="000000" w:themeColor="text1"/>
                <w:kern w:val="24"/>
                <w:sz w:val="20"/>
                <w:szCs w:val="20"/>
              </w:rPr>
              <w:t>BlackRock US Equities</w:t>
            </w:r>
          </w:p>
          <w:p w14:paraId="24C17FC2" w14:textId="77777777" w:rsidR="00877E81" w:rsidRPr="00734D9B" w:rsidRDefault="00877E81" w:rsidP="00F73720">
            <w:pPr>
              <w:pStyle w:val="NormalWeb"/>
              <w:spacing w:before="0" w:beforeAutospacing="0" w:after="0" w:afterAutospacing="0"/>
              <w:rPr>
                <w:rFonts w:asciiTheme="minorHAnsi" w:eastAsia="Calibri" w:hAnsiTheme="minorHAnsi" w:cs="Arial"/>
                <w:b/>
                <w:bCs/>
                <w:color w:val="000000" w:themeColor="text1"/>
                <w:kern w:val="24"/>
                <w:sz w:val="20"/>
                <w:szCs w:val="20"/>
              </w:rPr>
            </w:pPr>
            <w:r>
              <w:rPr>
                <w:rFonts w:asciiTheme="minorHAnsi" w:eastAsia="Calibri" w:hAnsiTheme="minorHAnsi" w:cs="Arial"/>
                <w:b/>
                <w:bCs/>
                <w:color w:val="000000" w:themeColor="text1"/>
                <w:kern w:val="24"/>
                <w:sz w:val="20"/>
                <w:szCs w:val="20"/>
              </w:rPr>
              <w:t>(Index)</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tbl>
            <w:tblPr>
              <w:tblW w:w="8101" w:type="dxa"/>
              <w:tblLayout w:type="fixed"/>
              <w:tblLook w:val="04A0" w:firstRow="1" w:lastRow="0" w:firstColumn="1" w:lastColumn="0" w:noHBand="0" w:noVBand="1"/>
            </w:tblPr>
            <w:tblGrid>
              <w:gridCol w:w="5000"/>
              <w:gridCol w:w="3101"/>
            </w:tblGrid>
            <w:tr w:rsidR="00877E81" w:rsidRPr="000F12A1" w14:paraId="524D7FF9" w14:textId="77777777" w:rsidTr="00F73720">
              <w:trPr>
                <w:trHeight w:val="255"/>
              </w:trPr>
              <w:tc>
                <w:tcPr>
                  <w:tcW w:w="5000" w:type="dxa"/>
                  <w:tcBorders>
                    <w:top w:val="nil"/>
                    <w:left w:val="nil"/>
                    <w:bottom w:val="single" w:sz="4" w:space="0" w:color="A6A6A6" w:themeColor="background1" w:themeShade="A6"/>
                    <w:right w:val="nil"/>
                  </w:tcBorders>
                  <w:shd w:val="clear" w:color="auto" w:fill="auto"/>
                  <w:noWrap/>
                  <w:vAlign w:val="bottom"/>
                </w:tcPr>
                <w:p w14:paraId="2E4EF59E" w14:textId="77777777" w:rsidR="00877E81" w:rsidRPr="000F12A1" w:rsidRDefault="00877E81" w:rsidP="00F73720">
                  <w:pPr>
                    <w:rPr>
                      <w:rFonts w:eastAsia="Times New Roman" w:cs="Arial"/>
                      <w:sz w:val="20"/>
                      <w:szCs w:val="20"/>
                      <w:lang w:val="en-GB" w:eastAsia="en-GB"/>
                    </w:rPr>
                  </w:pPr>
                </w:p>
              </w:tc>
              <w:tc>
                <w:tcPr>
                  <w:tcW w:w="3101" w:type="dxa"/>
                  <w:tcBorders>
                    <w:top w:val="nil"/>
                    <w:left w:val="nil"/>
                    <w:bottom w:val="single" w:sz="4" w:space="0" w:color="A6A6A6" w:themeColor="background1" w:themeShade="A6"/>
                    <w:right w:val="nil"/>
                  </w:tcBorders>
                  <w:shd w:val="clear" w:color="auto" w:fill="auto"/>
                  <w:noWrap/>
                  <w:vAlign w:val="center"/>
                </w:tcPr>
                <w:p w14:paraId="26317475" w14:textId="6630CE57" w:rsidR="00877E81" w:rsidRPr="000F12A1" w:rsidRDefault="00877E81" w:rsidP="00F73720">
                  <w:pPr>
                    <w:jc w:val="center"/>
                    <w:rPr>
                      <w:rFonts w:eastAsia="Times New Roman" w:cs="Arial"/>
                      <w:b/>
                      <w:bCs/>
                      <w:sz w:val="20"/>
                      <w:szCs w:val="20"/>
                      <w:lang w:val="en-GB" w:eastAsia="en-GB"/>
                    </w:rPr>
                  </w:pPr>
                  <w:r>
                    <w:rPr>
                      <w:rFonts w:ascii="BLK Fort" w:hAnsi="BLK Fort" w:cs="Arial"/>
                      <w:b/>
                      <w:bCs/>
                      <w:color w:val="000000"/>
                      <w:sz w:val="20"/>
                      <w:szCs w:val="20"/>
                    </w:rPr>
                    <w:t xml:space="preserve">Year to </w:t>
                  </w:r>
                  <w:r w:rsidR="00ED127A">
                    <w:rPr>
                      <w:rFonts w:ascii="BLK Fort" w:hAnsi="BLK Fort" w:cs="Arial"/>
                      <w:b/>
                      <w:bCs/>
                      <w:color w:val="000000"/>
                      <w:sz w:val="20"/>
                      <w:szCs w:val="20"/>
                    </w:rPr>
                    <w:t>31 March 202</w:t>
                  </w:r>
                  <w:r w:rsidR="00E75D49">
                    <w:rPr>
                      <w:rFonts w:ascii="BLK Fort" w:hAnsi="BLK Fort" w:cs="Arial"/>
                      <w:b/>
                      <w:bCs/>
                      <w:color w:val="000000"/>
                      <w:sz w:val="20"/>
                      <w:szCs w:val="20"/>
                    </w:rPr>
                    <w:t>4</w:t>
                  </w:r>
                </w:p>
              </w:tc>
            </w:tr>
            <w:tr w:rsidR="00E75D49" w:rsidRPr="000F12A1" w14:paraId="44D6FA16" w14:textId="77777777" w:rsidTr="008615BF">
              <w:trPr>
                <w:trHeight w:val="255"/>
              </w:trPr>
              <w:tc>
                <w:tcPr>
                  <w:tcW w:w="5000" w:type="dxa"/>
                  <w:tcBorders>
                    <w:top w:val="single" w:sz="4" w:space="0" w:color="A6A6A6" w:themeColor="background1" w:themeShade="A6"/>
                    <w:left w:val="nil"/>
                    <w:bottom w:val="nil"/>
                    <w:right w:val="nil"/>
                  </w:tcBorders>
                  <w:shd w:val="clear" w:color="auto" w:fill="auto"/>
                  <w:noWrap/>
                  <w:vAlign w:val="bottom"/>
                  <w:hideMark/>
                </w:tcPr>
                <w:p w14:paraId="02335AA3" w14:textId="77777777" w:rsidR="00E75D49" w:rsidRPr="000F12A1" w:rsidRDefault="00E75D49" w:rsidP="00E75D49">
                  <w:pPr>
                    <w:rPr>
                      <w:rFonts w:eastAsia="Times New Roman" w:cs="Arial"/>
                      <w:sz w:val="20"/>
                      <w:szCs w:val="20"/>
                      <w:lang w:val="en-GB" w:eastAsia="en-GB"/>
                    </w:rPr>
                  </w:pPr>
                  <w:r w:rsidRPr="000F12A1">
                    <w:rPr>
                      <w:rFonts w:eastAsia="Times New Roman" w:cs="Arial"/>
                      <w:sz w:val="20"/>
                      <w:szCs w:val="20"/>
                      <w:lang w:val="en-GB" w:eastAsia="en-GB"/>
                    </w:rPr>
                    <w:t>Votable proposals</w:t>
                  </w:r>
                </w:p>
              </w:tc>
              <w:tc>
                <w:tcPr>
                  <w:tcW w:w="3101" w:type="dxa"/>
                  <w:tcBorders>
                    <w:top w:val="single" w:sz="4" w:space="0" w:color="A6A6A6" w:themeColor="background1" w:themeShade="A6"/>
                    <w:left w:val="nil"/>
                    <w:bottom w:val="nil"/>
                    <w:right w:val="nil"/>
                  </w:tcBorders>
                  <w:shd w:val="clear" w:color="auto" w:fill="auto"/>
                  <w:noWrap/>
                </w:tcPr>
                <w:p w14:paraId="0728D744" w14:textId="7968C2E2" w:rsidR="00E75D49" w:rsidRPr="00C014BE" w:rsidRDefault="00E75D49" w:rsidP="00E75D49">
                  <w:pPr>
                    <w:jc w:val="center"/>
                    <w:rPr>
                      <w:rFonts w:eastAsia="Times New Roman" w:cs="Arial"/>
                      <w:sz w:val="20"/>
                      <w:szCs w:val="20"/>
                      <w:lang w:val="en-GB" w:eastAsia="en-GB"/>
                    </w:rPr>
                  </w:pPr>
                  <w:r>
                    <w:t>7,467</w:t>
                  </w:r>
                </w:p>
              </w:tc>
            </w:tr>
            <w:tr w:rsidR="00E75D49" w:rsidRPr="000F12A1" w14:paraId="7107F4F4" w14:textId="77777777" w:rsidTr="008615BF">
              <w:trPr>
                <w:trHeight w:val="255"/>
              </w:trPr>
              <w:tc>
                <w:tcPr>
                  <w:tcW w:w="5000" w:type="dxa"/>
                  <w:tcBorders>
                    <w:top w:val="nil"/>
                    <w:left w:val="nil"/>
                    <w:bottom w:val="nil"/>
                    <w:right w:val="nil"/>
                  </w:tcBorders>
                  <w:shd w:val="clear" w:color="auto" w:fill="auto"/>
                  <w:noWrap/>
                  <w:vAlign w:val="bottom"/>
                </w:tcPr>
                <w:p w14:paraId="0644F92D" w14:textId="77777777" w:rsidR="00E75D49" w:rsidRPr="000F12A1" w:rsidRDefault="00E75D49" w:rsidP="00E75D49">
                  <w:pPr>
                    <w:rPr>
                      <w:rFonts w:eastAsia="Times New Roman" w:cs="Arial"/>
                      <w:sz w:val="20"/>
                      <w:szCs w:val="20"/>
                      <w:lang w:val="en-GB" w:eastAsia="en-GB"/>
                    </w:rPr>
                  </w:pPr>
                  <w:r w:rsidRPr="000F12A1">
                    <w:rPr>
                      <w:rFonts w:eastAsia="Times New Roman" w:cs="Arial"/>
                      <w:sz w:val="20"/>
                      <w:szCs w:val="20"/>
                      <w:lang w:val="en-GB" w:eastAsia="en-GB"/>
                    </w:rPr>
                    <w:t>% of resolutions voted</w:t>
                  </w:r>
                </w:p>
              </w:tc>
              <w:tc>
                <w:tcPr>
                  <w:tcW w:w="3101" w:type="dxa"/>
                  <w:tcBorders>
                    <w:top w:val="nil"/>
                    <w:left w:val="nil"/>
                    <w:bottom w:val="nil"/>
                    <w:right w:val="nil"/>
                  </w:tcBorders>
                  <w:shd w:val="clear" w:color="auto" w:fill="auto"/>
                  <w:noWrap/>
                </w:tcPr>
                <w:p w14:paraId="1F17D9B7" w14:textId="56AD6F9B" w:rsidR="00E75D49" w:rsidRPr="00C014BE" w:rsidRDefault="00E75D49" w:rsidP="00E75D49">
                  <w:pPr>
                    <w:jc w:val="center"/>
                    <w:rPr>
                      <w:rFonts w:eastAsia="Times New Roman" w:cs="Arial"/>
                      <w:sz w:val="20"/>
                      <w:szCs w:val="20"/>
                      <w:lang w:val="en-GB" w:eastAsia="en-GB"/>
                    </w:rPr>
                  </w:pPr>
                  <w:r>
                    <w:t>100</w:t>
                  </w:r>
                  <w:r w:rsidRPr="0052026D">
                    <w:t>%</w:t>
                  </w:r>
                </w:p>
              </w:tc>
            </w:tr>
            <w:tr w:rsidR="00E75D49" w:rsidRPr="000F12A1" w14:paraId="24A92C21" w14:textId="77777777" w:rsidTr="008615BF">
              <w:trPr>
                <w:trHeight w:val="255"/>
              </w:trPr>
              <w:tc>
                <w:tcPr>
                  <w:tcW w:w="5000" w:type="dxa"/>
                  <w:tcBorders>
                    <w:top w:val="nil"/>
                    <w:left w:val="nil"/>
                    <w:bottom w:val="nil"/>
                    <w:right w:val="nil"/>
                  </w:tcBorders>
                  <w:shd w:val="clear" w:color="auto" w:fill="auto"/>
                  <w:noWrap/>
                  <w:vAlign w:val="bottom"/>
                  <w:hideMark/>
                </w:tcPr>
                <w:p w14:paraId="594D2CAD" w14:textId="77777777" w:rsidR="00E75D49" w:rsidRPr="000F12A1" w:rsidRDefault="00E75D49" w:rsidP="00E75D49">
                  <w:pPr>
                    <w:rPr>
                      <w:rFonts w:eastAsia="Times New Roman" w:cs="Arial"/>
                      <w:sz w:val="20"/>
                      <w:szCs w:val="20"/>
                      <w:lang w:val="en-GB" w:eastAsia="en-GB"/>
                    </w:rPr>
                  </w:pPr>
                  <w:r w:rsidRPr="000F12A1">
                    <w:rPr>
                      <w:rFonts w:eastAsia="Times New Roman" w:cs="Arial"/>
                      <w:sz w:val="20"/>
                      <w:szCs w:val="20"/>
                      <w:lang w:val="en-GB" w:eastAsia="en-GB"/>
                    </w:rPr>
                    <w:t>% of resolutions voted against management</w:t>
                  </w:r>
                </w:p>
              </w:tc>
              <w:tc>
                <w:tcPr>
                  <w:tcW w:w="3101" w:type="dxa"/>
                  <w:tcBorders>
                    <w:top w:val="nil"/>
                    <w:left w:val="nil"/>
                    <w:bottom w:val="nil"/>
                    <w:right w:val="nil"/>
                  </w:tcBorders>
                  <w:shd w:val="clear" w:color="auto" w:fill="auto"/>
                  <w:noWrap/>
                </w:tcPr>
                <w:p w14:paraId="00B7C264" w14:textId="3BDA9343" w:rsidR="00E75D49" w:rsidRPr="00C014BE" w:rsidRDefault="00E75D49" w:rsidP="00E75D49">
                  <w:pPr>
                    <w:jc w:val="center"/>
                    <w:rPr>
                      <w:rFonts w:eastAsia="Times New Roman" w:cs="Arial"/>
                      <w:sz w:val="20"/>
                      <w:szCs w:val="20"/>
                      <w:lang w:val="en-GB" w:eastAsia="en-GB"/>
                    </w:rPr>
                  </w:pPr>
                  <w:r>
                    <w:t>2</w:t>
                  </w:r>
                  <w:r w:rsidRPr="0052026D">
                    <w:t>%</w:t>
                  </w:r>
                </w:p>
              </w:tc>
            </w:tr>
            <w:tr w:rsidR="00E75D49" w:rsidRPr="000F12A1" w14:paraId="3AE4EF0F" w14:textId="77777777" w:rsidTr="008615BF">
              <w:trPr>
                <w:trHeight w:val="255"/>
              </w:trPr>
              <w:tc>
                <w:tcPr>
                  <w:tcW w:w="5000" w:type="dxa"/>
                  <w:tcBorders>
                    <w:top w:val="nil"/>
                    <w:left w:val="nil"/>
                    <w:bottom w:val="nil"/>
                    <w:right w:val="nil"/>
                  </w:tcBorders>
                  <w:shd w:val="clear" w:color="auto" w:fill="auto"/>
                  <w:noWrap/>
                  <w:vAlign w:val="bottom"/>
                  <w:hideMark/>
                </w:tcPr>
                <w:p w14:paraId="090EB181" w14:textId="77777777" w:rsidR="00E75D49" w:rsidRPr="000F12A1" w:rsidRDefault="00E75D49" w:rsidP="00E75D49">
                  <w:pPr>
                    <w:rPr>
                      <w:rFonts w:eastAsia="Times New Roman" w:cs="Arial"/>
                      <w:sz w:val="20"/>
                      <w:szCs w:val="20"/>
                      <w:lang w:val="en-GB" w:eastAsia="en-GB"/>
                    </w:rPr>
                  </w:pPr>
                  <w:r w:rsidRPr="000F12A1">
                    <w:rPr>
                      <w:rFonts w:eastAsia="Times New Roman" w:cs="Arial"/>
                      <w:sz w:val="20"/>
                      <w:szCs w:val="20"/>
                      <w:lang w:val="en-GB" w:eastAsia="en-GB"/>
                    </w:rPr>
                    <w:t xml:space="preserve">% of resolutions abstained </w:t>
                  </w:r>
                </w:p>
              </w:tc>
              <w:tc>
                <w:tcPr>
                  <w:tcW w:w="3101" w:type="dxa"/>
                  <w:tcBorders>
                    <w:top w:val="nil"/>
                    <w:left w:val="nil"/>
                    <w:bottom w:val="nil"/>
                    <w:right w:val="nil"/>
                  </w:tcBorders>
                  <w:shd w:val="clear" w:color="auto" w:fill="auto"/>
                  <w:noWrap/>
                </w:tcPr>
                <w:p w14:paraId="13BC53BB" w14:textId="4B5049C1" w:rsidR="00E75D49" w:rsidRPr="00C014BE" w:rsidRDefault="00E75D49" w:rsidP="00E75D49">
                  <w:pPr>
                    <w:jc w:val="center"/>
                    <w:rPr>
                      <w:rFonts w:eastAsia="Times New Roman" w:cs="Arial"/>
                      <w:sz w:val="20"/>
                      <w:szCs w:val="20"/>
                      <w:lang w:val="en-GB" w:eastAsia="en-GB"/>
                    </w:rPr>
                  </w:pPr>
                  <w:r w:rsidRPr="0052026D">
                    <w:t>0%</w:t>
                  </w:r>
                </w:p>
              </w:tc>
            </w:tr>
          </w:tbl>
          <w:p w14:paraId="7BB3E488" w14:textId="77777777" w:rsidR="00877E81" w:rsidRPr="000F12A1" w:rsidRDefault="00877E81" w:rsidP="00F73720">
            <w:pPr>
              <w:rPr>
                <w:rFonts w:eastAsia="Times New Roman" w:cs="Arial"/>
                <w:sz w:val="20"/>
                <w:szCs w:val="20"/>
                <w:lang w:val="en-GB" w:eastAsia="en-GB"/>
              </w:rPr>
            </w:pPr>
          </w:p>
        </w:tc>
      </w:tr>
      <w:tr w:rsidR="00877E81" w:rsidRPr="004C2CEB" w14:paraId="430F9511"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tcPr>
          <w:p w14:paraId="7348755B" w14:textId="77777777" w:rsidR="00877E81" w:rsidRDefault="00877E81" w:rsidP="00F73720">
            <w:pPr>
              <w:pStyle w:val="NormalWeb"/>
              <w:spacing w:before="0" w:beforeAutospacing="0" w:after="0" w:afterAutospacing="0"/>
              <w:rPr>
                <w:rFonts w:asciiTheme="minorHAnsi" w:eastAsia="Calibri" w:hAnsiTheme="minorHAnsi" w:cs="Arial"/>
                <w:b/>
                <w:bCs/>
                <w:color w:val="000000" w:themeColor="text1"/>
                <w:kern w:val="24"/>
                <w:sz w:val="20"/>
                <w:szCs w:val="20"/>
              </w:rPr>
            </w:pPr>
            <w:r w:rsidRPr="00734D9B">
              <w:rPr>
                <w:rFonts w:asciiTheme="minorHAnsi" w:eastAsia="Calibri" w:hAnsiTheme="minorHAnsi" w:cs="Arial"/>
                <w:b/>
                <w:bCs/>
                <w:color w:val="000000" w:themeColor="text1"/>
                <w:kern w:val="24"/>
                <w:sz w:val="20"/>
                <w:szCs w:val="20"/>
              </w:rPr>
              <w:t>BlackRock U</w:t>
            </w:r>
            <w:r>
              <w:rPr>
                <w:rFonts w:asciiTheme="minorHAnsi" w:eastAsia="Calibri" w:hAnsiTheme="minorHAnsi" w:cs="Arial"/>
                <w:b/>
                <w:bCs/>
                <w:color w:val="000000" w:themeColor="text1"/>
                <w:kern w:val="24"/>
                <w:sz w:val="20"/>
                <w:szCs w:val="20"/>
              </w:rPr>
              <w:t>K</w:t>
            </w:r>
            <w:r w:rsidRPr="00734D9B">
              <w:rPr>
                <w:rFonts w:asciiTheme="minorHAnsi" w:eastAsia="Calibri" w:hAnsiTheme="minorHAnsi" w:cs="Arial"/>
                <w:b/>
                <w:bCs/>
                <w:color w:val="000000" w:themeColor="text1"/>
                <w:kern w:val="24"/>
                <w:sz w:val="20"/>
                <w:szCs w:val="20"/>
              </w:rPr>
              <w:t xml:space="preserve"> Equities</w:t>
            </w:r>
          </w:p>
          <w:p w14:paraId="3DCB071D" w14:textId="77777777" w:rsidR="00877E81" w:rsidRPr="00734D9B" w:rsidRDefault="00877E81" w:rsidP="00F73720">
            <w:pPr>
              <w:pStyle w:val="NormalWeb"/>
              <w:spacing w:before="0" w:beforeAutospacing="0" w:after="0" w:afterAutospacing="0"/>
              <w:rPr>
                <w:rFonts w:asciiTheme="minorHAnsi" w:eastAsia="Calibri" w:hAnsiTheme="minorHAnsi" w:cs="Arial"/>
                <w:b/>
                <w:bCs/>
                <w:color w:val="000000" w:themeColor="text1"/>
                <w:kern w:val="24"/>
                <w:sz w:val="20"/>
                <w:szCs w:val="20"/>
              </w:rPr>
            </w:pPr>
            <w:r>
              <w:rPr>
                <w:rFonts w:asciiTheme="minorHAnsi" w:eastAsia="Calibri" w:hAnsiTheme="minorHAnsi" w:cs="Arial"/>
                <w:b/>
                <w:bCs/>
                <w:color w:val="000000" w:themeColor="text1"/>
                <w:kern w:val="24"/>
                <w:sz w:val="20"/>
                <w:szCs w:val="20"/>
              </w:rPr>
              <w:t>(Index)</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tbl>
            <w:tblPr>
              <w:tblW w:w="8101" w:type="dxa"/>
              <w:tblLayout w:type="fixed"/>
              <w:tblLook w:val="04A0" w:firstRow="1" w:lastRow="0" w:firstColumn="1" w:lastColumn="0" w:noHBand="0" w:noVBand="1"/>
            </w:tblPr>
            <w:tblGrid>
              <w:gridCol w:w="5000"/>
              <w:gridCol w:w="3101"/>
            </w:tblGrid>
            <w:tr w:rsidR="00877E81" w:rsidRPr="000F12A1" w14:paraId="20493DD1" w14:textId="77777777" w:rsidTr="00F73720">
              <w:trPr>
                <w:trHeight w:val="255"/>
              </w:trPr>
              <w:tc>
                <w:tcPr>
                  <w:tcW w:w="5000" w:type="dxa"/>
                  <w:tcBorders>
                    <w:top w:val="nil"/>
                    <w:left w:val="nil"/>
                    <w:bottom w:val="single" w:sz="4" w:space="0" w:color="A6A6A6" w:themeColor="background1" w:themeShade="A6"/>
                    <w:right w:val="nil"/>
                  </w:tcBorders>
                  <w:shd w:val="clear" w:color="auto" w:fill="auto"/>
                  <w:noWrap/>
                  <w:vAlign w:val="bottom"/>
                </w:tcPr>
                <w:p w14:paraId="30DCC278" w14:textId="77777777" w:rsidR="00877E81" w:rsidRPr="000F12A1" w:rsidRDefault="00877E81" w:rsidP="00F73720">
                  <w:pPr>
                    <w:rPr>
                      <w:rFonts w:eastAsia="Times New Roman" w:cs="Arial"/>
                      <w:sz w:val="20"/>
                      <w:szCs w:val="20"/>
                      <w:lang w:val="en-GB" w:eastAsia="en-GB"/>
                    </w:rPr>
                  </w:pPr>
                </w:p>
              </w:tc>
              <w:tc>
                <w:tcPr>
                  <w:tcW w:w="3101" w:type="dxa"/>
                  <w:tcBorders>
                    <w:top w:val="nil"/>
                    <w:left w:val="nil"/>
                    <w:bottom w:val="single" w:sz="4" w:space="0" w:color="A6A6A6" w:themeColor="background1" w:themeShade="A6"/>
                    <w:right w:val="nil"/>
                  </w:tcBorders>
                  <w:shd w:val="clear" w:color="auto" w:fill="auto"/>
                  <w:noWrap/>
                  <w:vAlign w:val="center"/>
                </w:tcPr>
                <w:p w14:paraId="201D54C1" w14:textId="622A57D7" w:rsidR="00877E81" w:rsidRPr="00C1382F" w:rsidRDefault="00877E81" w:rsidP="00F73720">
                  <w:pPr>
                    <w:jc w:val="center"/>
                    <w:rPr>
                      <w:rFonts w:eastAsia="Times New Roman" w:cs="Arial"/>
                      <w:b/>
                      <w:bCs/>
                      <w:sz w:val="20"/>
                      <w:szCs w:val="20"/>
                      <w:lang w:val="en-GB" w:eastAsia="en-GB"/>
                    </w:rPr>
                  </w:pPr>
                  <w:r>
                    <w:rPr>
                      <w:rFonts w:ascii="BLK Fort" w:hAnsi="BLK Fort" w:cs="Arial"/>
                      <w:b/>
                      <w:bCs/>
                      <w:color w:val="000000"/>
                      <w:sz w:val="20"/>
                      <w:szCs w:val="20"/>
                    </w:rPr>
                    <w:t xml:space="preserve">Year to </w:t>
                  </w:r>
                  <w:r w:rsidR="00ED127A">
                    <w:rPr>
                      <w:rFonts w:ascii="BLK Fort" w:hAnsi="BLK Fort" w:cs="Arial"/>
                      <w:b/>
                      <w:bCs/>
                      <w:color w:val="000000"/>
                      <w:sz w:val="20"/>
                      <w:szCs w:val="20"/>
                    </w:rPr>
                    <w:t>31 March 202</w:t>
                  </w:r>
                  <w:r w:rsidR="00E75D49">
                    <w:rPr>
                      <w:rFonts w:ascii="BLK Fort" w:hAnsi="BLK Fort" w:cs="Arial"/>
                      <w:b/>
                      <w:bCs/>
                      <w:color w:val="000000"/>
                      <w:sz w:val="20"/>
                      <w:szCs w:val="20"/>
                    </w:rPr>
                    <w:t>4</w:t>
                  </w:r>
                </w:p>
              </w:tc>
            </w:tr>
            <w:tr w:rsidR="00E75D49" w:rsidRPr="000F12A1" w14:paraId="07338C85" w14:textId="77777777" w:rsidTr="008615BF">
              <w:trPr>
                <w:trHeight w:val="255"/>
              </w:trPr>
              <w:tc>
                <w:tcPr>
                  <w:tcW w:w="5000" w:type="dxa"/>
                  <w:tcBorders>
                    <w:top w:val="single" w:sz="4" w:space="0" w:color="A6A6A6" w:themeColor="background1" w:themeShade="A6"/>
                    <w:left w:val="nil"/>
                    <w:bottom w:val="nil"/>
                    <w:right w:val="nil"/>
                  </w:tcBorders>
                  <w:shd w:val="clear" w:color="auto" w:fill="auto"/>
                  <w:noWrap/>
                  <w:vAlign w:val="bottom"/>
                  <w:hideMark/>
                </w:tcPr>
                <w:p w14:paraId="34D53C44" w14:textId="77777777" w:rsidR="00E75D49" w:rsidRPr="000F12A1" w:rsidRDefault="00E75D49" w:rsidP="00E75D49">
                  <w:pPr>
                    <w:rPr>
                      <w:rFonts w:eastAsia="Times New Roman" w:cs="Arial"/>
                      <w:sz w:val="20"/>
                      <w:szCs w:val="20"/>
                      <w:lang w:val="en-GB" w:eastAsia="en-GB"/>
                    </w:rPr>
                  </w:pPr>
                  <w:r w:rsidRPr="000F12A1">
                    <w:rPr>
                      <w:rFonts w:eastAsia="Times New Roman" w:cs="Arial"/>
                      <w:sz w:val="20"/>
                      <w:szCs w:val="20"/>
                      <w:lang w:val="en-GB" w:eastAsia="en-GB"/>
                    </w:rPr>
                    <w:t>Votable proposals</w:t>
                  </w:r>
                </w:p>
              </w:tc>
              <w:tc>
                <w:tcPr>
                  <w:tcW w:w="3101" w:type="dxa"/>
                  <w:tcBorders>
                    <w:top w:val="single" w:sz="4" w:space="0" w:color="A6A6A6" w:themeColor="background1" w:themeShade="A6"/>
                    <w:left w:val="nil"/>
                    <w:bottom w:val="nil"/>
                    <w:right w:val="nil"/>
                  </w:tcBorders>
                  <w:shd w:val="clear" w:color="auto" w:fill="auto"/>
                  <w:noWrap/>
                </w:tcPr>
                <w:p w14:paraId="7375BF29" w14:textId="0D78AE12" w:rsidR="00E75D49" w:rsidRPr="00C014BE" w:rsidRDefault="00E75D49" w:rsidP="00E75D49">
                  <w:pPr>
                    <w:jc w:val="center"/>
                    <w:rPr>
                      <w:rFonts w:eastAsia="Times New Roman" w:cs="Arial"/>
                      <w:sz w:val="20"/>
                      <w:szCs w:val="20"/>
                      <w:lang w:val="en-GB" w:eastAsia="en-GB"/>
                    </w:rPr>
                  </w:pPr>
                  <w:r>
                    <w:t>14,770</w:t>
                  </w:r>
                </w:p>
              </w:tc>
            </w:tr>
            <w:tr w:rsidR="00E75D49" w:rsidRPr="000F12A1" w14:paraId="3440BBD6" w14:textId="77777777" w:rsidTr="008615BF">
              <w:trPr>
                <w:trHeight w:val="255"/>
              </w:trPr>
              <w:tc>
                <w:tcPr>
                  <w:tcW w:w="5000" w:type="dxa"/>
                  <w:tcBorders>
                    <w:top w:val="nil"/>
                    <w:left w:val="nil"/>
                    <w:bottom w:val="nil"/>
                    <w:right w:val="nil"/>
                  </w:tcBorders>
                  <w:shd w:val="clear" w:color="auto" w:fill="auto"/>
                  <w:noWrap/>
                  <w:vAlign w:val="bottom"/>
                </w:tcPr>
                <w:p w14:paraId="5FA29146" w14:textId="77777777" w:rsidR="00E75D49" w:rsidRPr="000F12A1" w:rsidRDefault="00E75D49" w:rsidP="00E75D49">
                  <w:pPr>
                    <w:rPr>
                      <w:rFonts w:eastAsia="Times New Roman" w:cs="Arial"/>
                      <w:sz w:val="20"/>
                      <w:szCs w:val="20"/>
                      <w:lang w:val="en-GB" w:eastAsia="en-GB"/>
                    </w:rPr>
                  </w:pPr>
                  <w:r w:rsidRPr="000F12A1">
                    <w:rPr>
                      <w:rFonts w:eastAsia="Times New Roman" w:cs="Arial"/>
                      <w:sz w:val="20"/>
                      <w:szCs w:val="20"/>
                      <w:lang w:val="en-GB" w:eastAsia="en-GB"/>
                    </w:rPr>
                    <w:t>% of resolutions voted</w:t>
                  </w:r>
                </w:p>
              </w:tc>
              <w:tc>
                <w:tcPr>
                  <w:tcW w:w="3101" w:type="dxa"/>
                  <w:tcBorders>
                    <w:top w:val="nil"/>
                    <w:left w:val="nil"/>
                    <w:bottom w:val="nil"/>
                    <w:right w:val="nil"/>
                  </w:tcBorders>
                  <w:shd w:val="clear" w:color="auto" w:fill="auto"/>
                  <w:noWrap/>
                </w:tcPr>
                <w:p w14:paraId="7AAC04CA" w14:textId="75945F5E" w:rsidR="00E75D49" w:rsidRPr="00C014BE" w:rsidRDefault="00E75D49" w:rsidP="00E75D49">
                  <w:pPr>
                    <w:jc w:val="center"/>
                    <w:rPr>
                      <w:rFonts w:eastAsia="Times New Roman" w:cs="Arial"/>
                      <w:sz w:val="20"/>
                      <w:szCs w:val="20"/>
                      <w:lang w:val="en-GB" w:eastAsia="en-GB"/>
                    </w:rPr>
                  </w:pPr>
                  <w:r w:rsidRPr="006D26FF">
                    <w:t>9</w:t>
                  </w:r>
                  <w:r>
                    <w:t>6</w:t>
                  </w:r>
                  <w:r w:rsidRPr="006D26FF">
                    <w:t>%</w:t>
                  </w:r>
                </w:p>
              </w:tc>
            </w:tr>
            <w:tr w:rsidR="00E75D49" w:rsidRPr="000F12A1" w14:paraId="3C47DB81" w14:textId="77777777" w:rsidTr="008615BF">
              <w:trPr>
                <w:trHeight w:val="255"/>
              </w:trPr>
              <w:tc>
                <w:tcPr>
                  <w:tcW w:w="5000" w:type="dxa"/>
                  <w:tcBorders>
                    <w:top w:val="nil"/>
                    <w:left w:val="nil"/>
                    <w:bottom w:val="nil"/>
                    <w:right w:val="nil"/>
                  </w:tcBorders>
                  <w:shd w:val="clear" w:color="auto" w:fill="auto"/>
                  <w:noWrap/>
                  <w:vAlign w:val="bottom"/>
                  <w:hideMark/>
                </w:tcPr>
                <w:p w14:paraId="3272BD5C" w14:textId="77777777" w:rsidR="00E75D49" w:rsidRPr="000F12A1" w:rsidRDefault="00E75D49" w:rsidP="00E75D49">
                  <w:pPr>
                    <w:rPr>
                      <w:rFonts w:eastAsia="Times New Roman" w:cs="Arial"/>
                      <w:sz w:val="20"/>
                      <w:szCs w:val="20"/>
                      <w:lang w:val="en-GB" w:eastAsia="en-GB"/>
                    </w:rPr>
                  </w:pPr>
                  <w:r w:rsidRPr="000F12A1">
                    <w:rPr>
                      <w:rFonts w:eastAsia="Times New Roman" w:cs="Arial"/>
                      <w:sz w:val="20"/>
                      <w:szCs w:val="20"/>
                      <w:lang w:val="en-GB" w:eastAsia="en-GB"/>
                    </w:rPr>
                    <w:t>% of resolutions voted against management</w:t>
                  </w:r>
                </w:p>
              </w:tc>
              <w:tc>
                <w:tcPr>
                  <w:tcW w:w="3101" w:type="dxa"/>
                  <w:tcBorders>
                    <w:top w:val="nil"/>
                    <w:left w:val="nil"/>
                    <w:bottom w:val="nil"/>
                    <w:right w:val="nil"/>
                  </w:tcBorders>
                  <w:shd w:val="clear" w:color="auto" w:fill="auto"/>
                  <w:noWrap/>
                </w:tcPr>
                <w:p w14:paraId="76D74A3C" w14:textId="318FB4CB" w:rsidR="00E75D49" w:rsidRPr="00C014BE" w:rsidRDefault="00E75D49" w:rsidP="00E75D49">
                  <w:pPr>
                    <w:jc w:val="center"/>
                    <w:rPr>
                      <w:rFonts w:eastAsia="Times New Roman" w:cs="Arial"/>
                      <w:sz w:val="20"/>
                      <w:szCs w:val="20"/>
                      <w:lang w:val="en-GB" w:eastAsia="en-GB"/>
                    </w:rPr>
                  </w:pPr>
                  <w:r>
                    <w:t>3</w:t>
                  </w:r>
                  <w:r w:rsidRPr="006D26FF">
                    <w:t>%</w:t>
                  </w:r>
                </w:p>
              </w:tc>
            </w:tr>
            <w:tr w:rsidR="00E75D49" w:rsidRPr="000F12A1" w14:paraId="72F83952" w14:textId="77777777" w:rsidTr="008615BF">
              <w:trPr>
                <w:trHeight w:val="255"/>
              </w:trPr>
              <w:tc>
                <w:tcPr>
                  <w:tcW w:w="5000" w:type="dxa"/>
                  <w:tcBorders>
                    <w:top w:val="nil"/>
                    <w:left w:val="nil"/>
                    <w:bottom w:val="nil"/>
                    <w:right w:val="nil"/>
                  </w:tcBorders>
                  <w:shd w:val="clear" w:color="auto" w:fill="auto"/>
                  <w:noWrap/>
                  <w:vAlign w:val="bottom"/>
                  <w:hideMark/>
                </w:tcPr>
                <w:p w14:paraId="2BBCB982" w14:textId="77777777" w:rsidR="00E75D49" w:rsidRPr="000F12A1" w:rsidRDefault="00E75D49" w:rsidP="00E75D49">
                  <w:pPr>
                    <w:rPr>
                      <w:rFonts w:eastAsia="Times New Roman" w:cs="Arial"/>
                      <w:sz w:val="20"/>
                      <w:szCs w:val="20"/>
                      <w:lang w:val="en-GB" w:eastAsia="en-GB"/>
                    </w:rPr>
                  </w:pPr>
                  <w:r w:rsidRPr="000F12A1">
                    <w:rPr>
                      <w:rFonts w:eastAsia="Times New Roman" w:cs="Arial"/>
                      <w:sz w:val="20"/>
                      <w:szCs w:val="20"/>
                      <w:lang w:val="en-GB" w:eastAsia="en-GB"/>
                    </w:rPr>
                    <w:t xml:space="preserve">% of resolutions abstained </w:t>
                  </w:r>
                </w:p>
              </w:tc>
              <w:tc>
                <w:tcPr>
                  <w:tcW w:w="3101" w:type="dxa"/>
                  <w:tcBorders>
                    <w:top w:val="nil"/>
                    <w:left w:val="nil"/>
                    <w:bottom w:val="nil"/>
                    <w:right w:val="nil"/>
                  </w:tcBorders>
                  <w:shd w:val="clear" w:color="auto" w:fill="auto"/>
                  <w:noWrap/>
                </w:tcPr>
                <w:p w14:paraId="02257B4F" w14:textId="71178DEF" w:rsidR="00E75D49" w:rsidRPr="00C014BE" w:rsidRDefault="00E75D49" w:rsidP="00E75D49">
                  <w:pPr>
                    <w:jc w:val="center"/>
                    <w:rPr>
                      <w:rFonts w:eastAsia="Times New Roman" w:cs="Arial"/>
                      <w:sz w:val="20"/>
                      <w:szCs w:val="20"/>
                      <w:lang w:val="en-GB" w:eastAsia="en-GB"/>
                    </w:rPr>
                  </w:pPr>
                  <w:r>
                    <w:t>1</w:t>
                  </w:r>
                  <w:r w:rsidRPr="006D26FF">
                    <w:t>%</w:t>
                  </w:r>
                </w:p>
              </w:tc>
            </w:tr>
          </w:tbl>
          <w:p w14:paraId="37BC04C4" w14:textId="77777777" w:rsidR="00877E81" w:rsidRPr="000F12A1" w:rsidRDefault="00877E81" w:rsidP="00F73720">
            <w:pPr>
              <w:rPr>
                <w:rFonts w:eastAsia="Times New Roman" w:cs="Arial"/>
                <w:sz w:val="20"/>
                <w:szCs w:val="20"/>
                <w:lang w:val="en-GB" w:eastAsia="en-GB"/>
              </w:rPr>
            </w:pPr>
          </w:p>
        </w:tc>
      </w:tr>
      <w:tr w:rsidR="00877E81" w:rsidRPr="004C2CEB" w14:paraId="47A20D2B"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tcPr>
          <w:p w14:paraId="47D67A0D" w14:textId="77777777" w:rsidR="00877E81" w:rsidRDefault="00877E81" w:rsidP="00F73720">
            <w:pPr>
              <w:pStyle w:val="NormalWeb"/>
              <w:spacing w:before="0" w:beforeAutospacing="0" w:after="0" w:afterAutospacing="0"/>
              <w:rPr>
                <w:rFonts w:asciiTheme="minorHAnsi" w:eastAsia="Calibri" w:hAnsiTheme="minorHAnsi" w:cs="Arial"/>
                <w:b/>
                <w:bCs/>
                <w:color w:val="000000" w:themeColor="text1"/>
                <w:kern w:val="24"/>
                <w:sz w:val="20"/>
                <w:szCs w:val="20"/>
              </w:rPr>
            </w:pPr>
            <w:r w:rsidRPr="00734D9B">
              <w:rPr>
                <w:rFonts w:asciiTheme="minorHAnsi" w:eastAsia="Calibri" w:hAnsiTheme="minorHAnsi" w:cs="Arial"/>
                <w:b/>
                <w:bCs/>
                <w:color w:val="000000" w:themeColor="text1"/>
                <w:kern w:val="24"/>
                <w:sz w:val="20"/>
                <w:szCs w:val="20"/>
              </w:rPr>
              <w:t>BlackRock Asia Pacific Equities</w:t>
            </w:r>
          </w:p>
          <w:p w14:paraId="0A152C81" w14:textId="77777777" w:rsidR="00877E81" w:rsidRPr="00734D9B" w:rsidRDefault="00877E81" w:rsidP="00F73720">
            <w:pPr>
              <w:pStyle w:val="NormalWeb"/>
              <w:spacing w:before="0" w:beforeAutospacing="0" w:after="0" w:afterAutospacing="0"/>
              <w:rPr>
                <w:rFonts w:asciiTheme="minorHAnsi" w:eastAsia="Calibri" w:hAnsiTheme="minorHAnsi" w:cs="Arial"/>
                <w:b/>
                <w:bCs/>
                <w:color w:val="000000" w:themeColor="text1"/>
                <w:kern w:val="24"/>
                <w:sz w:val="20"/>
                <w:szCs w:val="20"/>
              </w:rPr>
            </w:pPr>
            <w:r>
              <w:rPr>
                <w:rFonts w:asciiTheme="minorHAnsi" w:eastAsia="Calibri" w:hAnsiTheme="minorHAnsi" w:cs="Arial"/>
                <w:b/>
                <w:bCs/>
                <w:color w:val="000000" w:themeColor="text1"/>
                <w:kern w:val="24"/>
                <w:sz w:val="20"/>
                <w:szCs w:val="20"/>
              </w:rPr>
              <w:t>(Index)</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tbl>
            <w:tblPr>
              <w:tblW w:w="8243" w:type="dxa"/>
              <w:tblLayout w:type="fixed"/>
              <w:tblLook w:val="04A0" w:firstRow="1" w:lastRow="0" w:firstColumn="1" w:lastColumn="0" w:noHBand="0" w:noVBand="1"/>
            </w:tblPr>
            <w:tblGrid>
              <w:gridCol w:w="5000"/>
              <w:gridCol w:w="3243"/>
            </w:tblGrid>
            <w:tr w:rsidR="00877E81" w:rsidRPr="000F12A1" w14:paraId="5E999A20" w14:textId="77777777" w:rsidTr="00F73720">
              <w:trPr>
                <w:trHeight w:val="255"/>
              </w:trPr>
              <w:tc>
                <w:tcPr>
                  <w:tcW w:w="5000" w:type="dxa"/>
                  <w:tcBorders>
                    <w:top w:val="nil"/>
                    <w:left w:val="nil"/>
                    <w:bottom w:val="single" w:sz="4" w:space="0" w:color="A6A6A6" w:themeColor="background1" w:themeShade="A6"/>
                    <w:right w:val="nil"/>
                  </w:tcBorders>
                  <w:shd w:val="clear" w:color="auto" w:fill="auto"/>
                  <w:noWrap/>
                  <w:vAlign w:val="bottom"/>
                </w:tcPr>
                <w:p w14:paraId="6958F3ED" w14:textId="77777777" w:rsidR="00877E81" w:rsidRPr="000F12A1" w:rsidRDefault="00877E81" w:rsidP="00F73720">
                  <w:pPr>
                    <w:rPr>
                      <w:rFonts w:eastAsia="Times New Roman" w:cs="Arial"/>
                      <w:sz w:val="20"/>
                      <w:szCs w:val="20"/>
                      <w:lang w:val="en-GB" w:eastAsia="en-GB"/>
                    </w:rPr>
                  </w:pPr>
                </w:p>
              </w:tc>
              <w:tc>
                <w:tcPr>
                  <w:tcW w:w="3243" w:type="dxa"/>
                  <w:tcBorders>
                    <w:top w:val="nil"/>
                    <w:left w:val="nil"/>
                    <w:bottom w:val="single" w:sz="4" w:space="0" w:color="A6A6A6" w:themeColor="background1" w:themeShade="A6"/>
                    <w:right w:val="nil"/>
                  </w:tcBorders>
                  <w:shd w:val="clear" w:color="auto" w:fill="auto"/>
                  <w:noWrap/>
                  <w:vAlign w:val="center"/>
                </w:tcPr>
                <w:p w14:paraId="1492CB9A" w14:textId="2FAD00E3" w:rsidR="00877E81" w:rsidRPr="000F12A1" w:rsidRDefault="00877E81" w:rsidP="00F73720">
                  <w:pPr>
                    <w:jc w:val="center"/>
                    <w:rPr>
                      <w:rFonts w:eastAsia="Times New Roman" w:cs="Arial"/>
                      <w:b/>
                      <w:bCs/>
                      <w:sz w:val="20"/>
                      <w:szCs w:val="20"/>
                      <w:lang w:val="en-GB" w:eastAsia="en-GB"/>
                    </w:rPr>
                  </w:pPr>
                  <w:r>
                    <w:rPr>
                      <w:rFonts w:ascii="BLK Fort" w:hAnsi="BLK Fort" w:cs="Arial"/>
                      <w:b/>
                      <w:bCs/>
                      <w:color w:val="000000"/>
                      <w:sz w:val="20"/>
                      <w:szCs w:val="20"/>
                    </w:rPr>
                    <w:t xml:space="preserve">Year to </w:t>
                  </w:r>
                  <w:r w:rsidR="00ED127A">
                    <w:rPr>
                      <w:rFonts w:ascii="BLK Fort" w:hAnsi="BLK Fort" w:cs="Arial"/>
                      <w:b/>
                      <w:bCs/>
                      <w:color w:val="000000"/>
                      <w:sz w:val="20"/>
                      <w:szCs w:val="20"/>
                    </w:rPr>
                    <w:t>31 March 202</w:t>
                  </w:r>
                  <w:r w:rsidR="00E75D49">
                    <w:rPr>
                      <w:rFonts w:ascii="BLK Fort" w:hAnsi="BLK Fort" w:cs="Arial"/>
                      <w:b/>
                      <w:bCs/>
                      <w:color w:val="000000"/>
                      <w:sz w:val="20"/>
                      <w:szCs w:val="20"/>
                    </w:rPr>
                    <w:t>4</w:t>
                  </w:r>
                </w:p>
              </w:tc>
            </w:tr>
            <w:tr w:rsidR="0031035B" w:rsidRPr="000F12A1" w14:paraId="5E9BA109" w14:textId="77777777" w:rsidTr="008615BF">
              <w:trPr>
                <w:trHeight w:val="255"/>
              </w:trPr>
              <w:tc>
                <w:tcPr>
                  <w:tcW w:w="5000" w:type="dxa"/>
                  <w:tcBorders>
                    <w:top w:val="single" w:sz="4" w:space="0" w:color="A6A6A6" w:themeColor="background1" w:themeShade="A6"/>
                    <w:left w:val="nil"/>
                    <w:bottom w:val="nil"/>
                    <w:right w:val="nil"/>
                  </w:tcBorders>
                  <w:shd w:val="clear" w:color="auto" w:fill="auto"/>
                  <w:noWrap/>
                  <w:vAlign w:val="bottom"/>
                  <w:hideMark/>
                </w:tcPr>
                <w:p w14:paraId="45BAACE5" w14:textId="77777777" w:rsidR="0031035B" w:rsidRPr="000F12A1" w:rsidRDefault="0031035B" w:rsidP="0031035B">
                  <w:pPr>
                    <w:rPr>
                      <w:rFonts w:eastAsia="Times New Roman" w:cs="Arial"/>
                      <w:sz w:val="20"/>
                      <w:szCs w:val="20"/>
                      <w:lang w:val="en-GB" w:eastAsia="en-GB"/>
                    </w:rPr>
                  </w:pPr>
                  <w:r w:rsidRPr="000F12A1">
                    <w:rPr>
                      <w:rFonts w:eastAsia="Times New Roman" w:cs="Arial"/>
                      <w:sz w:val="20"/>
                      <w:szCs w:val="20"/>
                      <w:lang w:val="en-GB" w:eastAsia="en-GB"/>
                    </w:rPr>
                    <w:t>Votable proposals</w:t>
                  </w:r>
                </w:p>
              </w:tc>
              <w:tc>
                <w:tcPr>
                  <w:tcW w:w="3243" w:type="dxa"/>
                  <w:tcBorders>
                    <w:top w:val="single" w:sz="4" w:space="0" w:color="A6A6A6" w:themeColor="background1" w:themeShade="A6"/>
                    <w:left w:val="nil"/>
                    <w:bottom w:val="nil"/>
                    <w:right w:val="nil"/>
                  </w:tcBorders>
                  <w:shd w:val="clear" w:color="auto" w:fill="auto"/>
                  <w:noWrap/>
                </w:tcPr>
                <w:p w14:paraId="25879CEB" w14:textId="15C60095" w:rsidR="0031035B" w:rsidRPr="00C014BE" w:rsidRDefault="0031035B" w:rsidP="0031035B">
                  <w:pPr>
                    <w:jc w:val="center"/>
                    <w:rPr>
                      <w:rFonts w:eastAsia="Times New Roman" w:cs="Arial"/>
                      <w:sz w:val="20"/>
                      <w:szCs w:val="20"/>
                      <w:lang w:val="en-GB" w:eastAsia="en-GB"/>
                    </w:rPr>
                  </w:pPr>
                  <w:r w:rsidRPr="00CC36A8">
                    <w:t>3,119</w:t>
                  </w:r>
                </w:p>
              </w:tc>
            </w:tr>
            <w:tr w:rsidR="0031035B" w:rsidRPr="000F12A1" w14:paraId="7E765169" w14:textId="77777777" w:rsidTr="008615BF">
              <w:trPr>
                <w:trHeight w:val="255"/>
              </w:trPr>
              <w:tc>
                <w:tcPr>
                  <w:tcW w:w="5000" w:type="dxa"/>
                  <w:tcBorders>
                    <w:top w:val="nil"/>
                    <w:left w:val="nil"/>
                    <w:bottom w:val="nil"/>
                    <w:right w:val="nil"/>
                  </w:tcBorders>
                  <w:shd w:val="clear" w:color="auto" w:fill="auto"/>
                  <w:noWrap/>
                  <w:vAlign w:val="bottom"/>
                </w:tcPr>
                <w:p w14:paraId="137DC2EB" w14:textId="77777777" w:rsidR="0031035B" w:rsidRPr="000F12A1" w:rsidRDefault="0031035B" w:rsidP="0031035B">
                  <w:pPr>
                    <w:rPr>
                      <w:rFonts w:eastAsia="Times New Roman" w:cs="Arial"/>
                      <w:sz w:val="20"/>
                      <w:szCs w:val="20"/>
                      <w:lang w:val="en-GB" w:eastAsia="en-GB"/>
                    </w:rPr>
                  </w:pPr>
                  <w:r w:rsidRPr="000F12A1">
                    <w:rPr>
                      <w:rFonts w:eastAsia="Times New Roman" w:cs="Arial"/>
                      <w:sz w:val="20"/>
                      <w:szCs w:val="20"/>
                      <w:lang w:val="en-GB" w:eastAsia="en-GB"/>
                    </w:rPr>
                    <w:t>% of resolutions voted</w:t>
                  </w:r>
                </w:p>
              </w:tc>
              <w:tc>
                <w:tcPr>
                  <w:tcW w:w="3243" w:type="dxa"/>
                  <w:tcBorders>
                    <w:top w:val="nil"/>
                    <w:left w:val="nil"/>
                    <w:bottom w:val="nil"/>
                    <w:right w:val="nil"/>
                  </w:tcBorders>
                  <w:shd w:val="clear" w:color="auto" w:fill="auto"/>
                  <w:noWrap/>
                </w:tcPr>
                <w:p w14:paraId="5AAB7362" w14:textId="681116E3" w:rsidR="0031035B" w:rsidRPr="00C014BE" w:rsidRDefault="0031035B" w:rsidP="0031035B">
                  <w:pPr>
                    <w:jc w:val="center"/>
                    <w:rPr>
                      <w:rFonts w:eastAsia="Times New Roman" w:cs="Arial"/>
                      <w:sz w:val="20"/>
                      <w:szCs w:val="20"/>
                      <w:lang w:val="en-GB" w:eastAsia="en-GB"/>
                    </w:rPr>
                  </w:pPr>
                  <w:r w:rsidRPr="00CC36A8">
                    <w:t>100%</w:t>
                  </w:r>
                </w:p>
              </w:tc>
            </w:tr>
            <w:tr w:rsidR="0031035B" w:rsidRPr="000F12A1" w14:paraId="015B0851" w14:textId="77777777" w:rsidTr="008615BF">
              <w:trPr>
                <w:trHeight w:val="255"/>
              </w:trPr>
              <w:tc>
                <w:tcPr>
                  <w:tcW w:w="5000" w:type="dxa"/>
                  <w:tcBorders>
                    <w:top w:val="nil"/>
                    <w:left w:val="nil"/>
                    <w:bottom w:val="nil"/>
                    <w:right w:val="nil"/>
                  </w:tcBorders>
                  <w:shd w:val="clear" w:color="auto" w:fill="auto"/>
                  <w:noWrap/>
                  <w:vAlign w:val="bottom"/>
                  <w:hideMark/>
                </w:tcPr>
                <w:p w14:paraId="1C1E2F0B" w14:textId="77777777" w:rsidR="0031035B" w:rsidRPr="000F12A1" w:rsidRDefault="0031035B" w:rsidP="0031035B">
                  <w:pPr>
                    <w:rPr>
                      <w:rFonts w:eastAsia="Times New Roman" w:cs="Arial"/>
                      <w:sz w:val="20"/>
                      <w:szCs w:val="20"/>
                      <w:lang w:val="en-GB" w:eastAsia="en-GB"/>
                    </w:rPr>
                  </w:pPr>
                  <w:r w:rsidRPr="000F12A1">
                    <w:rPr>
                      <w:rFonts w:eastAsia="Times New Roman" w:cs="Arial"/>
                      <w:sz w:val="20"/>
                      <w:szCs w:val="20"/>
                      <w:lang w:val="en-GB" w:eastAsia="en-GB"/>
                    </w:rPr>
                    <w:t>% of resolutions voted against management</w:t>
                  </w:r>
                </w:p>
              </w:tc>
              <w:tc>
                <w:tcPr>
                  <w:tcW w:w="3243" w:type="dxa"/>
                  <w:tcBorders>
                    <w:top w:val="nil"/>
                    <w:left w:val="nil"/>
                    <w:bottom w:val="nil"/>
                    <w:right w:val="nil"/>
                  </w:tcBorders>
                  <w:shd w:val="clear" w:color="auto" w:fill="auto"/>
                  <w:noWrap/>
                </w:tcPr>
                <w:p w14:paraId="4CFF8340" w14:textId="72A7FC98" w:rsidR="0031035B" w:rsidRPr="00C014BE" w:rsidRDefault="0031035B" w:rsidP="0031035B">
                  <w:pPr>
                    <w:jc w:val="center"/>
                    <w:rPr>
                      <w:rFonts w:eastAsia="Times New Roman" w:cs="Arial"/>
                      <w:sz w:val="20"/>
                      <w:szCs w:val="20"/>
                      <w:lang w:val="en-GB" w:eastAsia="en-GB"/>
                    </w:rPr>
                  </w:pPr>
                  <w:r w:rsidRPr="00CC36A8">
                    <w:t>10%</w:t>
                  </w:r>
                </w:p>
              </w:tc>
            </w:tr>
            <w:tr w:rsidR="0031035B" w:rsidRPr="000F12A1" w14:paraId="44205829" w14:textId="77777777" w:rsidTr="008615BF">
              <w:trPr>
                <w:trHeight w:val="255"/>
              </w:trPr>
              <w:tc>
                <w:tcPr>
                  <w:tcW w:w="5000" w:type="dxa"/>
                  <w:tcBorders>
                    <w:top w:val="nil"/>
                    <w:left w:val="nil"/>
                    <w:bottom w:val="nil"/>
                    <w:right w:val="nil"/>
                  </w:tcBorders>
                  <w:shd w:val="clear" w:color="auto" w:fill="auto"/>
                  <w:noWrap/>
                  <w:vAlign w:val="bottom"/>
                  <w:hideMark/>
                </w:tcPr>
                <w:p w14:paraId="1C5ACBA4" w14:textId="77777777" w:rsidR="0031035B" w:rsidRPr="000F12A1" w:rsidRDefault="0031035B" w:rsidP="0031035B">
                  <w:pPr>
                    <w:rPr>
                      <w:rFonts w:eastAsia="Times New Roman" w:cs="Arial"/>
                      <w:sz w:val="20"/>
                      <w:szCs w:val="20"/>
                      <w:lang w:val="en-GB" w:eastAsia="en-GB"/>
                    </w:rPr>
                  </w:pPr>
                  <w:r w:rsidRPr="000F12A1">
                    <w:rPr>
                      <w:rFonts w:eastAsia="Times New Roman" w:cs="Arial"/>
                      <w:sz w:val="20"/>
                      <w:szCs w:val="20"/>
                      <w:lang w:val="en-GB" w:eastAsia="en-GB"/>
                    </w:rPr>
                    <w:t xml:space="preserve">% of resolutions abstained </w:t>
                  </w:r>
                </w:p>
              </w:tc>
              <w:tc>
                <w:tcPr>
                  <w:tcW w:w="3243" w:type="dxa"/>
                  <w:tcBorders>
                    <w:top w:val="nil"/>
                    <w:left w:val="nil"/>
                    <w:bottom w:val="nil"/>
                    <w:right w:val="nil"/>
                  </w:tcBorders>
                  <w:shd w:val="clear" w:color="auto" w:fill="auto"/>
                  <w:noWrap/>
                </w:tcPr>
                <w:p w14:paraId="62431F9B" w14:textId="31925645" w:rsidR="0031035B" w:rsidRPr="00C014BE" w:rsidRDefault="0031035B" w:rsidP="0031035B">
                  <w:pPr>
                    <w:jc w:val="center"/>
                    <w:rPr>
                      <w:rFonts w:eastAsia="Times New Roman" w:cs="Arial"/>
                      <w:sz w:val="20"/>
                      <w:szCs w:val="20"/>
                      <w:lang w:val="en-GB" w:eastAsia="en-GB"/>
                    </w:rPr>
                  </w:pPr>
                  <w:r w:rsidRPr="00CC36A8">
                    <w:t>0%</w:t>
                  </w:r>
                </w:p>
              </w:tc>
            </w:tr>
          </w:tbl>
          <w:p w14:paraId="27E2ECC5" w14:textId="77777777" w:rsidR="00877E81" w:rsidRPr="000F12A1" w:rsidRDefault="00877E81" w:rsidP="00F73720">
            <w:pPr>
              <w:rPr>
                <w:rFonts w:eastAsia="Times New Roman" w:cs="Arial"/>
                <w:sz w:val="20"/>
                <w:szCs w:val="20"/>
                <w:lang w:val="en-GB" w:eastAsia="en-GB"/>
              </w:rPr>
            </w:pPr>
          </w:p>
        </w:tc>
      </w:tr>
      <w:tr w:rsidR="00877E81" w:rsidRPr="004C2CEB" w14:paraId="5FD1F297"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tcPr>
          <w:p w14:paraId="2EE00F07" w14:textId="77777777" w:rsidR="00877E81" w:rsidRDefault="00877E81" w:rsidP="00F73720">
            <w:pPr>
              <w:pStyle w:val="NormalWeb"/>
              <w:spacing w:before="0" w:beforeAutospacing="0" w:after="0" w:afterAutospacing="0"/>
              <w:rPr>
                <w:rFonts w:asciiTheme="minorHAnsi" w:eastAsia="Calibri" w:hAnsiTheme="minorHAnsi" w:cs="Arial"/>
                <w:b/>
                <w:bCs/>
                <w:color w:val="000000" w:themeColor="text1"/>
                <w:kern w:val="24"/>
                <w:sz w:val="20"/>
                <w:szCs w:val="20"/>
              </w:rPr>
            </w:pPr>
            <w:r w:rsidRPr="00734D9B">
              <w:rPr>
                <w:rFonts w:asciiTheme="minorHAnsi" w:eastAsia="Calibri" w:hAnsiTheme="minorHAnsi" w:cs="Arial"/>
                <w:b/>
                <w:bCs/>
                <w:color w:val="000000" w:themeColor="text1"/>
                <w:kern w:val="24"/>
                <w:sz w:val="20"/>
                <w:szCs w:val="20"/>
              </w:rPr>
              <w:t>BlackRock Japan Equities</w:t>
            </w:r>
          </w:p>
          <w:p w14:paraId="64AD424D" w14:textId="77777777" w:rsidR="00877E81" w:rsidRPr="00734D9B" w:rsidRDefault="00877E81" w:rsidP="00F73720">
            <w:pPr>
              <w:pStyle w:val="NormalWeb"/>
              <w:spacing w:before="0" w:beforeAutospacing="0" w:after="0" w:afterAutospacing="0"/>
              <w:rPr>
                <w:rFonts w:asciiTheme="minorHAnsi" w:eastAsia="Calibri" w:hAnsiTheme="minorHAnsi" w:cs="Arial"/>
                <w:b/>
                <w:bCs/>
                <w:color w:val="000000" w:themeColor="text1"/>
                <w:kern w:val="24"/>
                <w:sz w:val="20"/>
                <w:szCs w:val="20"/>
              </w:rPr>
            </w:pPr>
            <w:r>
              <w:rPr>
                <w:rFonts w:asciiTheme="minorHAnsi" w:eastAsia="Calibri" w:hAnsiTheme="minorHAnsi" w:cs="Arial"/>
                <w:b/>
                <w:bCs/>
                <w:color w:val="000000" w:themeColor="text1"/>
                <w:kern w:val="24"/>
                <w:sz w:val="20"/>
                <w:szCs w:val="20"/>
              </w:rPr>
              <w:t>(Index)</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tbl>
            <w:tblPr>
              <w:tblW w:w="8243" w:type="dxa"/>
              <w:tblLayout w:type="fixed"/>
              <w:tblLook w:val="04A0" w:firstRow="1" w:lastRow="0" w:firstColumn="1" w:lastColumn="0" w:noHBand="0" w:noVBand="1"/>
            </w:tblPr>
            <w:tblGrid>
              <w:gridCol w:w="5000"/>
              <w:gridCol w:w="3243"/>
            </w:tblGrid>
            <w:tr w:rsidR="00877E81" w:rsidRPr="000F12A1" w14:paraId="075A0C11" w14:textId="77777777" w:rsidTr="00F73720">
              <w:trPr>
                <w:trHeight w:val="255"/>
              </w:trPr>
              <w:tc>
                <w:tcPr>
                  <w:tcW w:w="5000" w:type="dxa"/>
                  <w:tcBorders>
                    <w:top w:val="nil"/>
                    <w:left w:val="nil"/>
                    <w:bottom w:val="single" w:sz="4" w:space="0" w:color="A6A6A6" w:themeColor="background1" w:themeShade="A6"/>
                    <w:right w:val="nil"/>
                  </w:tcBorders>
                  <w:shd w:val="clear" w:color="auto" w:fill="auto"/>
                  <w:noWrap/>
                  <w:vAlign w:val="bottom"/>
                </w:tcPr>
                <w:p w14:paraId="65D57E1B" w14:textId="77777777" w:rsidR="00877E81" w:rsidRPr="000F12A1" w:rsidRDefault="00877E81" w:rsidP="00F73720">
                  <w:pPr>
                    <w:rPr>
                      <w:rFonts w:eastAsia="Times New Roman" w:cs="Arial"/>
                      <w:sz w:val="20"/>
                      <w:szCs w:val="20"/>
                      <w:lang w:val="en-GB" w:eastAsia="en-GB"/>
                    </w:rPr>
                  </w:pPr>
                </w:p>
              </w:tc>
              <w:tc>
                <w:tcPr>
                  <w:tcW w:w="3243" w:type="dxa"/>
                  <w:tcBorders>
                    <w:top w:val="nil"/>
                    <w:left w:val="nil"/>
                    <w:bottom w:val="single" w:sz="4" w:space="0" w:color="A6A6A6" w:themeColor="background1" w:themeShade="A6"/>
                    <w:right w:val="nil"/>
                  </w:tcBorders>
                  <w:shd w:val="clear" w:color="auto" w:fill="auto"/>
                  <w:noWrap/>
                  <w:vAlign w:val="center"/>
                </w:tcPr>
                <w:p w14:paraId="4A53AE7F" w14:textId="56046311" w:rsidR="00877E81" w:rsidRPr="000F12A1" w:rsidRDefault="00877E81" w:rsidP="00F73720">
                  <w:pPr>
                    <w:jc w:val="center"/>
                    <w:rPr>
                      <w:rFonts w:eastAsia="Times New Roman" w:cs="Arial"/>
                      <w:b/>
                      <w:bCs/>
                      <w:sz w:val="20"/>
                      <w:szCs w:val="20"/>
                      <w:lang w:val="en-GB" w:eastAsia="en-GB"/>
                    </w:rPr>
                  </w:pPr>
                  <w:r>
                    <w:rPr>
                      <w:rFonts w:ascii="BLK Fort" w:hAnsi="BLK Fort" w:cs="Arial"/>
                      <w:b/>
                      <w:bCs/>
                      <w:color w:val="000000"/>
                      <w:sz w:val="20"/>
                      <w:szCs w:val="20"/>
                    </w:rPr>
                    <w:t xml:space="preserve">Year to </w:t>
                  </w:r>
                  <w:r w:rsidR="00ED127A">
                    <w:rPr>
                      <w:rFonts w:ascii="BLK Fort" w:hAnsi="BLK Fort" w:cs="Arial"/>
                      <w:b/>
                      <w:bCs/>
                      <w:color w:val="000000"/>
                      <w:sz w:val="20"/>
                      <w:szCs w:val="20"/>
                    </w:rPr>
                    <w:t>31 March 202</w:t>
                  </w:r>
                  <w:r w:rsidR="00E75D49">
                    <w:rPr>
                      <w:rFonts w:ascii="BLK Fort" w:hAnsi="BLK Fort" w:cs="Arial"/>
                      <w:b/>
                      <w:bCs/>
                      <w:color w:val="000000"/>
                      <w:sz w:val="20"/>
                      <w:szCs w:val="20"/>
                    </w:rPr>
                    <w:t>4</w:t>
                  </w:r>
                </w:p>
              </w:tc>
            </w:tr>
            <w:tr w:rsidR="00E75D49" w:rsidRPr="000F12A1" w14:paraId="4C53333E" w14:textId="77777777" w:rsidTr="008615BF">
              <w:trPr>
                <w:trHeight w:val="255"/>
              </w:trPr>
              <w:tc>
                <w:tcPr>
                  <w:tcW w:w="5000" w:type="dxa"/>
                  <w:tcBorders>
                    <w:top w:val="single" w:sz="4" w:space="0" w:color="A6A6A6" w:themeColor="background1" w:themeShade="A6"/>
                    <w:left w:val="nil"/>
                    <w:bottom w:val="nil"/>
                    <w:right w:val="nil"/>
                  </w:tcBorders>
                  <w:shd w:val="clear" w:color="auto" w:fill="auto"/>
                  <w:noWrap/>
                  <w:vAlign w:val="bottom"/>
                  <w:hideMark/>
                </w:tcPr>
                <w:p w14:paraId="248D980F" w14:textId="77777777" w:rsidR="00E75D49" w:rsidRPr="000F12A1" w:rsidRDefault="00E75D49" w:rsidP="00E75D49">
                  <w:pPr>
                    <w:rPr>
                      <w:rFonts w:eastAsia="Times New Roman" w:cs="Arial"/>
                      <w:sz w:val="20"/>
                      <w:szCs w:val="20"/>
                      <w:lang w:val="en-GB" w:eastAsia="en-GB"/>
                    </w:rPr>
                  </w:pPr>
                  <w:r w:rsidRPr="000F12A1">
                    <w:rPr>
                      <w:rFonts w:eastAsia="Times New Roman" w:cs="Arial"/>
                      <w:sz w:val="20"/>
                      <w:szCs w:val="20"/>
                      <w:lang w:val="en-GB" w:eastAsia="en-GB"/>
                    </w:rPr>
                    <w:t>Votable proposals</w:t>
                  </w:r>
                </w:p>
              </w:tc>
              <w:tc>
                <w:tcPr>
                  <w:tcW w:w="3243" w:type="dxa"/>
                  <w:tcBorders>
                    <w:top w:val="single" w:sz="4" w:space="0" w:color="A6A6A6" w:themeColor="background1" w:themeShade="A6"/>
                    <w:left w:val="nil"/>
                    <w:bottom w:val="nil"/>
                    <w:right w:val="nil"/>
                  </w:tcBorders>
                  <w:shd w:val="clear" w:color="auto" w:fill="auto"/>
                  <w:noWrap/>
                </w:tcPr>
                <w:p w14:paraId="670F2D8C" w14:textId="5CD38E4E" w:rsidR="00E75D49" w:rsidRPr="00C014BE" w:rsidRDefault="00E75D49" w:rsidP="00E75D49">
                  <w:pPr>
                    <w:jc w:val="center"/>
                    <w:rPr>
                      <w:rFonts w:eastAsia="Times New Roman" w:cs="Arial"/>
                      <w:sz w:val="20"/>
                      <w:szCs w:val="20"/>
                      <w:lang w:val="en-GB" w:eastAsia="en-GB"/>
                    </w:rPr>
                  </w:pPr>
                  <w:r w:rsidRPr="002279E8">
                    <w:t>6,</w:t>
                  </w:r>
                  <w:r>
                    <w:t>075</w:t>
                  </w:r>
                </w:p>
              </w:tc>
            </w:tr>
            <w:tr w:rsidR="00E75D49" w:rsidRPr="000F12A1" w14:paraId="5219271A" w14:textId="77777777" w:rsidTr="008615BF">
              <w:trPr>
                <w:trHeight w:val="255"/>
              </w:trPr>
              <w:tc>
                <w:tcPr>
                  <w:tcW w:w="5000" w:type="dxa"/>
                  <w:tcBorders>
                    <w:top w:val="nil"/>
                    <w:left w:val="nil"/>
                    <w:bottom w:val="nil"/>
                    <w:right w:val="nil"/>
                  </w:tcBorders>
                  <w:shd w:val="clear" w:color="auto" w:fill="auto"/>
                  <w:noWrap/>
                  <w:vAlign w:val="bottom"/>
                </w:tcPr>
                <w:p w14:paraId="2EE1B421" w14:textId="77777777" w:rsidR="00E75D49" w:rsidRPr="000F12A1" w:rsidRDefault="00E75D49" w:rsidP="00E75D49">
                  <w:pPr>
                    <w:rPr>
                      <w:rFonts w:eastAsia="Times New Roman" w:cs="Arial"/>
                      <w:sz w:val="20"/>
                      <w:szCs w:val="20"/>
                      <w:lang w:val="en-GB" w:eastAsia="en-GB"/>
                    </w:rPr>
                  </w:pPr>
                  <w:r w:rsidRPr="000F12A1">
                    <w:rPr>
                      <w:rFonts w:eastAsia="Times New Roman" w:cs="Arial"/>
                      <w:sz w:val="20"/>
                      <w:szCs w:val="20"/>
                      <w:lang w:val="en-GB" w:eastAsia="en-GB"/>
                    </w:rPr>
                    <w:t>% of resolutions voted</w:t>
                  </w:r>
                </w:p>
              </w:tc>
              <w:tc>
                <w:tcPr>
                  <w:tcW w:w="3243" w:type="dxa"/>
                  <w:tcBorders>
                    <w:top w:val="nil"/>
                    <w:left w:val="nil"/>
                    <w:bottom w:val="nil"/>
                    <w:right w:val="nil"/>
                  </w:tcBorders>
                  <w:shd w:val="clear" w:color="auto" w:fill="auto"/>
                  <w:noWrap/>
                </w:tcPr>
                <w:p w14:paraId="23C83154" w14:textId="3B072619" w:rsidR="00E75D49" w:rsidRPr="00C014BE" w:rsidRDefault="00E75D49" w:rsidP="00E75D49">
                  <w:pPr>
                    <w:jc w:val="center"/>
                    <w:rPr>
                      <w:rFonts w:eastAsia="Times New Roman" w:cs="Arial"/>
                      <w:sz w:val="20"/>
                      <w:szCs w:val="20"/>
                      <w:lang w:val="en-GB" w:eastAsia="en-GB"/>
                    </w:rPr>
                  </w:pPr>
                  <w:r w:rsidRPr="002279E8">
                    <w:t>100%</w:t>
                  </w:r>
                </w:p>
              </w:tc>
            </w:tr>
            <w:tr w:rsidR="00E75D49" w:rsidRPr="000F12A1" w14:paraId="2B127A28" w14:textId="77777777" w:rsidTr="008615BF">
              <w:trPr>
                <w:trHeight w:val="255"/>
              </w:trPr>
              <w:tc>
                <w:tcPr>
                  <w:tcW w:w="5000" w:type="dxa"/>
                  <w:tcBorders>
                    <w:top w:val="nil"/>
                    <w:left w:val="nil"/>
                    <w:bottom w:val="nil"/>
                    <w:right w:val="nil"/>
                  </w:tcBorders>
                  <w:shd w:val="clear" w:color="auto" w:fill="auto"/>
                  <w:noWrap/>
                  <w:vAlign w:val="bottom"/>
                  <w:hideMark/>
                </w:tcPr>
                <w:p w14:paraId="29FDE424" w14:textId="77777777" w:rsidR="00E75D49" w:rsidRPr="000F12A1" w:rsidRDefault="00E75D49" w:rsidP="00E75D49">
                  <w:pPr>
                    <w:rPr>
                      <w:rFonts w:eastAsia="Times New Roman" w:cs="Arial"/>
                      <w:sz w:val="20"/>
                      <w:szCs w:val="20"/>
                      <w:lang w:val="en-GB" w:eastAsia="en-GB"/>
                    </w:rPr>
                  </w:pPr>
                  <w:r w:rsidRPr="000F12A1">
                    <w:rPr>
                      <w:rFonts w:eastAsia="Times New Roman" w:cs="Arial"/>
                      <w:sz w:val="20"/>
                      <w:szCs w:val="20"/>
                      <w:lang w:val="en-GB" w:eastAsia="en-GB"/>
                    </w:rPr>
                    <w:t>% of resolutions voted against management</w:t>
                  </w:r>
                </w:p>
              </w:tc>
              <w:tc>
                <w:tcPr>
                  <w:tcW w:w="3243" w:type="dxa"/>
                  <w:tcBorders>
                    <w:top w:val="nil"/>
                    <w:left w:val="nil"/>
                    <w:bottom w:val="nil"/>
                    <w:right w:val="nil"/>
                  </w:tcBorders>
                  <w:shd w:val="clear" w:color="auto" w:fill="auto"/>
                  <w:noWrap/>
                </w:tcPr>
                <w:p w14:paraId="0C260ECD" w14:textId="1C4D5145" w:rsidR="00E75D49" w:rsidRPr="00C014BE" w:rsidRDefault="00E75D49" w:rsidP="00E75D49">
                  <w:pPr>
                    <w:jc w:val="center"/>
                    <w:rPr>
                      <w:rFonts w:eastAsia="Times New Roman" w:cs="Arial"/>
                      <w:sz w:val="20"/>
                      <w:szCs w:val="20"/>
                      <w:lang w:val="en-GB" w:eastAsia="en-GB"/>
                    </w:rPr>
                  </w:pPr>
                  <w:r>
                    <w:t>4</w:t>
                  </w:r>
                  <w:r w:rsidRPr="002279E8">
                    <w:t>%</w:t>
                  </w:r>
                </w:p>
              </w:tc>
            </w:tr>
            <w:tr w:rsidR="00E75D49" w:rsidRPr="000F12A1" w14:paraId="4B580855" w14:textId="77777777" w:rsidTr="008615BF">
              <w:trPr>
                <w:trHeight w:val="255"/>
              </w:trPr>
              <w:tc>
                <w:tcPr>
                  <w:tcW w:w="5000" w:type="dxa"/>
                  <w:tcBorders>
                    <w:top w:val="nil"/>
                    <w:left w:val="nil"/>
                    <w:bottom w:val="nil"/>
                    <w:right w:val="nil"/>
                  </w:tcBorders>
                  <w:shd w:val="clear" w:color="auto" w:fill="auto"/>
                  <w:noWrap/>
                  <w:vAlign w:val="bottom"/>
                  <w:hideMark/>
                </w:tcPr>
                <w:p w14:paraId="7EE52665" w14:textId="77777777" w:rsidR="00E75D49" w:rsidRPr="000F12A1" w:rsidRDefault="00E75D49" w:rsidP="00E75D49">
                  <w:pPr>
                    <w:rPr>
                      <w:rFonts w:eastAsia="Times New Roman" w:cs="Arial"/>
                      <w:sz w:val="20"/>
                      <w:szCs w:val="20"/>
                      <w:lang w:val="en-GB" w:eastAsia="en-GB"/>
                    </w:rPr>
                  </w:pPr>
                  <w:r w:rsidRPr="000F12A1">
                    <w:rPr>
                      <w:rFonts w:eastAsia="Times New Roman" w:cs="Arial"/>
                      <w:sz w:val="20"/>
                      <w:szCs w:val="20"/>
                      <w:lang w:val="en-GB" w:eastAsia="en-GB"/>
                    </w:rPr>
                    <w:t xml:space="preserve">% of resolutions abstained </w:t>
                  </w:r>
                </w:p>
              </w:tc>
              <w:tc>
                <w:tcPr>
                  <w:tcW w:w="3243" w:type="dxa"/>
                  <w:tcBorders>
                    <w:top w:val="nil"/>
                    <w:left w:val="nil"/>
                    <w:bottom w:val="nil"/>
                    <w:right w:val="nil"/>
                  </w:tcBorders>
                  <w:shd w:val="clear" w:color="auto" w:fill="auto"/>
                  <w:noWrap/>
                </w:tcPr>
                <w:p w14:paraId="37FEF70A" w14:textId="5D3382C8" w:rsidR="00E75D49" w:rsidRPr="00C014BE" w:rsidRDefault="00E75D49" w:rsidP="00E75D49">
                  <w:pPr>
                    <w:jc w:val="center"/>
                    <w:rPr>
                      <w:rFonts w:eastAsia="Times New Roman" w:cs="Arial"/>
                      <w:sz w:val="20"/>
                      <w:szCs w:val="20"/>
                      <w:lang w:val="en-GB" w:eastAsia="en-GB"/>
                    </w:rPr>
                  </w:pPr>
                  <w:r w:rsidRPr="002279E8">
                    <w:t>0%</w:t>
                  </w:r>
                </w:p>
              </w:tc>
            </w:tr>
          </w:tbl>
          <w:p w14:paraId="0B448C95" w14:textId="77777777" w:rsidR="00877E81" w:rsidRPr="000F12A1" w:rsidRDefault="00877E81" w:rsidP="00F73720">
            <w:pPr>
              <w:rPr>
                <w:rFonts w:eastAsia="Times New Roman" w:cs="Arial"/>
                <w:sz w:val="20"/>
                <w:szCs w:val="20"/>
                <w:lang w:val="en-GB" w:eastAsia="en-GB"/>
              </w:rPr>
            </w:pPr>
          </w:p>
        </w:tc>
      </w:tr>
      <w:tr w:rsidR="00B925AE" w:rsidRPr="004C2CEB" w14:paraId="2A00871A"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tcPr>
          <w:p w14:paraId="5C703BD9" w14:textId="77777777" w:rsidR="00B925AE" w:rsidRDefault="003349FC" w:rsidP="00B925AE">
            <w:pPr>
              <w:pStyle w:val="NormalWeb"/>
              <w:spacing w:before="0" w:beforeAutospacing="0" w:after="0" w:afterAutospacing="0"/>
              <w:rPr>
                <w:rFonts w:asciiTheme="minorHAnsi" w:eastAsia="Calibri" w:hAnsiTheme="minorHAnsi" w:cs="Arial"/>
                <w:b/>
                <w:bCs/>
                <w:color w:val="000000" w:themeColor="text1"/>
                <w:kern w:val="24"/>
                <w:sz w:val="20"/>
                <w:szCs w:val="20"/>
              </w:rPr>
            </w:pPr>
            <w:r w:rsidRPr="003349FC">
              <w:rPr>
                <w:rFonts w:asciiTheme="minorHAnsi" w:eastAsia="Calibri" w:hAnsiTheme="minorHAnsi" w:cs="Arial"/>
                <w:b/>
                <w:bCs/>
                <w:color w:val="000000" w:themeColor="text1"/>
                <w:kern w:val="24"/>
                <w:sz w:val="20"/>
                <w:szCs w:val="20"/>
              </w:rPr>
              <w:t>iShares S&amp;P 500 ETF</w:t>
            </w:r>
          </w:p>
          <w:p w14:paraId="22C50398" w14:textId="77777777" w:rsidR="00211AEE" w:rsidRDefault="00211AEE" w:rsidP="00211AEE">
            <w:pPr>
              <w:pStyle w:val="NormalWeb"/>
              <w:spacing w:before="0" w:beforeAutospacing="0" w:after="0" w:afterAutospacing="0"/>
              <w:rPr>
                <w:rFonts w:asciiTheme="minorHAnsi" w:eastAsia="Calibri" w:hAnsiTheme="minorHAnsi" w:cs="Arial"/>
                <w:b/>
                <w:bCs/>
                <w:color w:val="000000" w:themeColor="text1"/>
                <w:kern w:val="24"/>
                <w:sz w:val="20"/>
                <w:szCs w:val="20"/>
              </w:rPr>
            </w:pPr>
            <w:r>
              <w:rPr>
                <w:rFonts w:asciiTheme="minorHAnsi" w:eastAsia="Calibri" w:hAnsiTheme="minorHAnsi" w:cs="Arial"/>
                <w:b/>
                <w:bCs/>
                <w:color w:val="000000" w:themeColor="text1"/>
                <w:kern w:val="24"/>
                <w:sz w:val="20"/>
                <w:szCs w:val="20"/>
              </w:rPr>
              <w:t>(Index)</w:t>
            </w:r>
          </w:p>
          <w:p w14:paraId="1E37AE8E" w14:textId="3EDBEE66" w:rsidR="00211AEE" w:rsidRPr="00734D9B" w:rsidRDefault="00211AEE" w:rsidP="00B925AE">
            <w:pPr>
              <w:pStyle w:val="NormalWeb"/>
              <w:spacing w:before="0" w:beforeAutospacing="0" w:after="0" w:afterAutospacing="0"/>
              <w:rPr>
                <w:rFonts w:asciiTheme="minorHAnsi" w:eastAsia="Calibri" w:hAnsiTheme="minorHAnsi" w:cs="Arial"/>
                <w:b/>
                <w:bCs/>
                <w:color w:val="000000" w:themeColor="text1"/>
                <w:kern w:val="24"/>
                <w:sz w:val="20"/>
                <w:szCs w:val="20"/>
              </w:rPr>
            </w:pP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tbl>
            <w:tblPr>
              <w:tblW w:w="8243" w:type="dxa"/>
              <w:tblLayout w:type="fixed"/>
              <w:tblLook w:val="04A0" w:firstRow="1" w:lastRow="0" w:firstColumn="1" w:lastColumn="0" w:noHBand="0" w:noVBand="1"/>
            </w:tblPr>
            <w:tblGrid>
              <w:gridCol w:w="5000"/>
              <w:gridCol w:w="3243"/>
            </w:tblGrid>
            <w:tr w:rsidR="00970266" w:rsidRPr="000F12A1" w14:paraId="4729EDDC" w14:textId="77777777" w:rsidTr="003D6AAA">
              <w:trPr>
                <w:trHeight w:val="255"/>
              </w:trPr>
              <w:tc>
                <w:tcPr>
                  <w:tcW w:w="5000" w:type="dxa"/>
                  <w:tcBorders>
                    <w:top w:val="nil"/>
                    <w:left w:val="nil"/>
                    <w:bottom w:val="single" w:sz="4" w:space="0" w:color="A6A6A6" w:themeColor="background1" w:themeShade="A6"/>
                    <w:right w:val="nil"/>
                  </w:tcBorders>
                  <w:shd w:val="clear" w:color="auto" w:fill="auto"/>
                  <w:noWrap/>
                  <w:vAlign w:val="bottom"/>
                </w:tcPr>
                <w:p w14:paraId="2A0568D9" w14:textId="77777777" w:rsidR="00970266" w:rsidRPr="000F12A1" w:rsidRDefault="00970266" w:rsidP="00970266">
                  <w:pPr>
                    <w:rPr>
                      <w:rFonts w:eastAsia="Times New Roman" w:cs="Arial"/>
                      <w:sz w:val="20"/>
                      <w:szCs w:val="20"/>
                      <w:lang w:val="en-GB" w:eastAsia="en-GB"/>
                    </w:rPr>
                  </w:pPr>
                </w:p>
              </w:tc>
              <w:tc>
                <w:tcPr>
                  <w:tcW w:w="3243" w:type="dxa"/>
                  <w:tcBorders>
                    <w:top w:val="nil"/>
                    <w:left w:val="nil"/>
                    <w:bottom w:val="single" w:sz="4" w:space="0" w:color="A6A6A6" w:themeColor="background1" w:themeShade="A6"/>
                    <w:right w:val="nil"/>
                  </w:tcBorders>
                  <w:shd w:val="clear" w:color="auto" w:fill="auto"/>
                  <w:noWrap/>
                  <w:vAlign w:val="center"/>
                </w:tcPr>
                <w:p w14:paraId="2C940FAB" w14:textId="1C2D0DC6" w:rsidR="00970266" w:rsidRPr="000F12A1" w:rsidRDefault="00970266" w:rsidP="00970266">
                  <w:pPr>
                    <w:jc w:val="center"/>
                    <w:rPr>
                      <w:rFonts w:eastAsia="Times New Roman" w:cs="Arial"/>
                      <w:b/>
                      <w:bCs/>
                      <w:sz w:val="20"/>
                      <w:szCs w:val="20"/>
                      <w:lang w:val="en-GB" w:eastAsia="en-GB"/>
                    </w:rPr>
                  </w:pPr>
                  <w:r>
                    <w:rPr>
                      <w:rFonts w:ascii="BLK Fort" w:hAnsi="BLK Fort" w:cs="Arial"/>
                      <w:b/>
                      <w:bCs/>
                      <w:color w:val="000000"/>
                      <w:sz w:val="20"/>
                      <w:szCs w:val="20"/>
                    </w:rPr>
                    <w:t>Year to 31 March 202</w:t>
                  </w:r>
                  <w:r w:rsidR="00211AEE">
                    <w:rPr>
                      <w:rFonts w:ascii="BLK Fort" w:hAnsi="BLK Fort" w:cs="Arial"/>
                      <w:b/>
                      <w:bCs/>
                      <w:color w:val="000000"/>
                      <w:sz w:val="20"/>
                      <w:szCs w:val="20"/>
                    </w:rPr>
                    <w:t>4</w:t>
                  </w:r>
                </w:p>
              </w:tc>
            </w:tr>
            <w:tr w:rsidR="00211AEE" w:rsidRPr="00237000" w14:paraId="7974CED6" w14:textId="77777777" w:rsidTr="003D6AAA">
              <w:trPr>
                <w:trHeight w:val="255"/>
              </w:trPr>
              <w:tc>
                <w:tcPr>
                  <w:tcW w:w="5000" w:type="dxa"/>
                  <w:tcBorders>
                    <w:top w:val="single" w:sz="4" w:space="0" w:color="A6A6A6" w:themeColor="background1" w:themeShade="A6"/>
                    <w:left w:val="nil"/>
                    <w:bottom w:val="nil"/>
                    <w:right w:val="nil"/>
                  </w:tcBorders>
                  <w:shd w:val="clear" w:color="auto" w:fill="auto"/>
                  <w:noWrap/>
                  <w:vAlign w:val="bottom"/>
                  <w:hideMark/>
                </w:tcPr>
                <w:p w14:paraId="2E96E97D" w14:textId="77777777" w:rsidR="00211AEE" w:rsidRPr="000F12A1" w:rsidRDefault="00211AEE" w:rsidP="00211AEE">
                  <w:pPr>
                    <w:rPr>
                      <w:rFonts w:eastAsia="Times New Roman" w:cs="Arial"/>
                      <w:sz w:val="20"/>
                      <w:szCs w:val="20"/>
                      <w:lang w:val="en-GB" w:eastAsia="en-GB"/>
                    </w:rPr>
                  </w:pPr>
                  <w:r w:rsidRPr="000F12A1">
                    <w:rPr>
                      <w:rFonts w:eastAsia="Times New Roman" w:cs="Arial"/>
                      <w:sz w:val="20"/>
                      <w:szCs w:val="20"/>
                      <w:lang w:val="en-GB" w:eastAsia="en-GB"/>
                    </w:rPr>
                    <w:t>Votable proposals</w:t>
                  </w:r>
                </w:p>
              </w:tc>
              <w:tc>
                <w:tcPr>
                  <w:tcW w:w="3243" w:type="dxa"/>
                  <w:tcBorders>
                    <w:top w:val="single" w:sz="4" w:space="0" w:color="A6A6A6" w:themeColor="background1" w:themeShade="A6"/>
                    <w:left w:val="nil"/>
                    <w:bottom w:val="nil"/>
                    <w:right w:val="nil"/>
                  </w:tcBorders>
                  <w:shd w:val="clear" w:color="auto" w:fill="auto"/>
                  <w:noWrap/>
                </w:tcPr>
                <w:p w14:paraId="6E882EB5" w14:textId="0776139D" w:rsidR="00211AEE" w:rsidRPr="00237000" w:rsidRDefault="00211AEE" w:rsidP="00211AEE">
                  <w:pPr>
                    <w:jc w:val="center"/>
                    <w:rPr>
                      <w:rFonts w:eastAsia="Times New Roman" w:cs="Arial"/>
                      <w:sz w:val="20"/>
                      <w:szCs w:val="20"/>
                      <w:lang w:val="en-GB" w:eastAsia="en-GB"/>
                    </w:rPr>
                  </w:pPr>
                  <w:r>
                    <w:t>7,217</w:t>
                  </w:r>
                </w:p>
              </w:tc>
            </w:tr>
            <w:tr w:rsidR="00211AEE" w:rsidRPr="00237000" w14:paraId="183CEDFF" w14:textId="77777777" w:rsidTr="003D6AAA">
              <w:trPr>
                <w:trHeight w:val="255"/>
              </w:trPr>
              <w:tc>
                <w:tcPr>
                  <w:tcW w:w="5000" w:type="dxa"/>
                  <w:tcBorders>
                    <w:top w:val="nil"/>
                    <w:left w:val="nil"/>
                    <w:bottom w:val="nil"/>
                    <w:right w:val="nil"/>
                  </w:tcBorders>
                  <w:shd w:val="clear" w:color="auto" w:fill="auto"/>
                  <w:noWrap/>
                  <w:vAlign w:val="bottom"/>
                </w:tcPr>
                <w:p w14:paraId="112FD5F7" w14:textId="77777777" w:rsidR="00211AEE" w:rsidRPr="000F12A1" w:rsidRDefault="00211AEE" w:rsidP="00211AEE">
                  <w:pPr>
                    <w:rPr>
                      <w:rFonts w:eastAsia="Times New Roman" w:cs="Arial"/>
                      <w:sz w:val="20"/>
                      <w:szCs w:val="20"/>
                      <w:lang w:val="en-GB" w:eastAsia="en-GB"/>
                    </w:rPr>
                  </w:pPr>
                  <w:r w:rsidRPr="000F12A1">
                    <w:rPr>
                      <w:rFonts w:eastAsia="Times New Roman" w:cs="Arial"/>
                      <w:sz w:val="20"/>
                      <w:szCs w:val="20"/>
                      <w:lang w:val="en-GB" w:eastAsia="en-GB"/>
                    </w:rPr>
                    <w:t>% of resolutions voted</w:t>
                  </w:r>
                </w:p>
              </w:tc>
              <w:tc>
                <w:tcPr>
                  <w:tcW w:w="3243" w:type="dxa"/>
                  <w:tcBorders>
                    <w:top w:val="nil"/>
                    <w:left w:val="nil"/>
                    <w:bottom w:val="nil"/>
                    <w:right w:val="nil"/>
                  </w:tcBorders>
                  <w:shd w:val="clear" w:color="auto" w:fill="auto"/>
                  <w:noWrap/>
                </w:tcPr>
                <w:p w14:paraId="73301FB2" w14:textId="0D900588" w:rsidR="00211AEE" w:rsidRPr="00237000" w:rsidRDefault="00211AEE" w:rsidP="00211AEE">
                  <w:pPr>
                    <w:jc w:val="center"/>
                    <w:rPr>
                      <w:rFonts w:eastAsia="Times New Roman" w:cs="Arial"/>
                      <w:sz w:val="20"/>
                      <w:szCs w:val="20"/>
                      <w:lang w:val="en-GB" w:eastAsia="en-GB"/>
                    </w:rPr>
                  </w:pPr>
                  <w:r>
                    <w:t>100</w:t>
                  </w:r>
                  <w:r w:rsidRPr="004F516C">
                    <w:t>%</w:t>
                  </w:r>
                </w:p>
              </w:tc>
            </w:tr>
            <w:tr w:rsidR="00211AEE" w:rsidRPr="00237000" w14:paraId="10D659CD" w14:textId="77777777" w:rsidTr="003D6AAA">
              <w:trPr>
                <w:trHeight w:val="255"/>
              </w:trPr>
              <w:tc>
                <w:tcPr>
                  <w:tcW w:w="5000" w:type="dxa"/>
                  <w:tcBorders>
                    <w:top w:val="nil"/>
                    <w:left w:val="nil"/>
                    <w:bottom w:val="nil"/>
                    <w:right w:val="nil"/>
                  </w:tcBorders>
                  <w:shd w:val="clear" w:color="auto" w:fill="auto"/>
                  <w:noWrap/>
                  <w:vAlign w:val="bottom"/>
                  <w:hideMark/>
                </w:tcPr>
                <w:p w14:paraId="74830CB3" w14:textId="77777777" w:rsidR="00211AEE" w:rsidRPr="000F12A1" w:rsidRDefault="00211AEE" w:rsidP="00211AEE">
                  <w:pPr>
                    <w:rPr>
                      <w:rFonts w:eastAsia="Times New Roman" w:cs="Arial"/>
                      <w:sz w:val="20"/>
                      <w:szCs w:val="20"/>
                      <w:lang w:val="en-GB" w:eastAsia="en-GB"/>
                    </w:rPr>
                  </w:pPr>
                  <w:r w:rsidRPr="000F12A1">
                    <w:rPr>
                      <w:rFonts w:eastAsia="Times New Roman" w:cs="Arial"/>
                      <w:sz w:val="20"/>
                      <w:szCs w:val="20"/>
                      <w:lang w:val="en-GB" w:eastAsia="en-GB"/>
                    </w:rPr>
                    <w:t>% of resolutions voted against management</w:t>
                  </w:r>
                </w:p>
              </w:tc>
              <w:tc>
                <w:tcPr>
                  <w:tcW w:w="3243" w:type="dxa"/>
                  <w:tcBorders>
                    <w:top w:val="nil"/>
                    <w:left w:val="nil"/>
                    <w:bottom w:val="nil"/>
                    <w:right w:val="nil"/>
                  </w:tcBorders>
                  <w:shd w:val="clear" w:color="auto" w:fill="auto"/>
                  <w:noWrap/>
                </w:tcPr>
                <w:p w14:paraId="628B30A7" w14:textId="145A3BFE" w:rsidR="00211AEE" w:rsidRPr="00237000" w:rsidRDefault="00211AEE" w:rsidP="00211AEE">
                  <w:pPr>
                    <w:jc w:val="center"/>
                    <w:rPr>
                      <w:rFonts w:eastAsia="Times New Roman" w:cs="Arial"/>
                      <w:sz w:val="20"/>
                      <w:szCs w:val="20"/>
                      <w:lang w:val="en-GB" w:eastAsia="en-GB"/>
                    </w:rPr>
                  </w:pPr>
                  <w:r>
                    <w:t>1</w:t>
                  </w:r>
                  <w:r w:rsidRPr="004F516C">
                    <w:t>%</w:t>
                  </w:r>
                </w:p>
              </w:tc>
            </w:tr>
            <w:tr w:rsidR="00211AEE" w:rsidRPr="00237000" w14:paraId="255F3749" w14:textId="77777777" w:rsidTr="003D6AAA">
              <w:trPr>
                <w:trHeight w:val="255"/>
              </w:trPr>
              <w:tc>
                <w:tcPr>
                  <w:tcW w:w="5000" w:type="dxa"/>
                  <w:tcBorders>
                    <w:top w:val="nil"/>
                    <w:left w:val="nil"/>
                    <w:bottom w:val="nil"/>
                    <w:right w:val="nil"/>
                  </w:tcBorders>
                  <w:shd w:val="clear" w:color="auto" w:fill="auto"/>
                  <w:noWrap/>
                  <w:vAlign w:val="bottom"/>
                  <w:hideMark/>
                </w:tcPr>
                <w:p w14:paraId="0A3FCCDE" w14:textId="77777777" w:rsidR="00211AEE" w:rsidRPr="000F12A1" w:rsidRDefault="00211AEE" w:rsidP="00211AEE">
                  <w:pPr>
                    <w:rPr>
                      <w:rFonts w:eastAsia="Times New Roman" w:cs="Arial"/>
                      <w:sz w:val="20"/>
                      <w:szCs w:val="20"/>
                      <w:lang w:val="en-GB" w:eastAsia="en-GB"/>
                    </w:rPr>
                  </w:pPr>
                  <w:r w:rsidRPr="000F12A1">
                    <w:rPr>
                      <w:rFonts w:eastAsia="Times New Roman" w:cs="Arial"/>
                      <w:sz w:val="20"/>
                      <w:szCs w:val="20"/>
                      <w:lang w:val="en-GB" w:eastAsia="en-GB"/>
                    </w:rPr>
                    <w:t xml:space="preserve">% of resolutions abstained </w:t>
                  </w:r>
                </w:p>
              </w:tc>
              <w:tc>
                <w:tcPr>
                  <w:tcW w:w="3243" w:type="dxa"/>
                  <w:tcBorders>
                    <w:top w:val="nil"/>
                    <w:left w:val="nil"/>
                    <w:bottom w:val="nil"/>
                    <w:right w:val="nil"/>
                  </w:tcBorders>
                  <w:shd w:val="clear" w:color="auto" w:fill="auto"/>
                  <w:noWrap/>
                </w:tcPr>
                <w:p w14:paraId="4CA30763" w14:textId="64BC3346" w:rsidR="00211AEE" w:rsidRPr="00237000" w:rsidRDefault="00211AEE" w:rsidP="00211AEE">
                  <w:pPr>
                    <w:jc w:val="center"/>
                    <w:rPr>
                      <w:rFonts w:eastAsia="Times New Roman" w:cs="Arial"/>
                      <w:sz w:val="20"/>
                      <w:szCs w:val="20"/>
                      <w:lang w:val="en-GB" w:eastAsia="en-GB"/>
                    </w:rPr>
                  </w:pPr>
                  <w:r w:rsidRPr="004F516C">
                    <w:t>0%</w:t>
                  </w:r>
                </w:p>
              </w:tc>
            </w:tr>
          </w:tbl>
          <w:p w14:paraId="593038D1" w14:textId="77777777" w:rsidR="00B925AE" w:rsidRPr="000F12A1" w:rsidRDefault="00B925AE" w:rsidP="00B925AE">
            <w:pPr>
              <w:rPr>
                <w:rFonts w:eastAsia="Times New Roman" w:cs="Arial"/>
                <w:sz w:val="20"/>
                <w:szCs w:val="20"/>
                <w:lang w:val="en-GB" w:eastAsia="en-GB"/>
              </w:rPr>
            </w:pPr>
          </w:p>
        </w:tc>
      </w:tr>
      <w:tr w:rsidR="00801F9B" w:rsidRPr="004C2CEB" w14:paraId="67FEBC0F"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tcPr>
          <w:p w14:paraId="2132DDB3" w14:textId="77777777" w:rsidR="00801F9B" w:rsidRDefault="00801F9B" w:rsidP="00801F9B">
            <w:pPr>
              <w:pStyle w:val="NormalWeb"/>
              <w:spacing w:before="0" w:beforeAutospacing="0" w:after="0" w:afterAutospacing="0"/>
              <w:rPr>
                <w:rFonts w:asciiTheme="minorHAnsi" w:eastAsia="Calibri" w:hAnsiTheme="minorHAnsi" w:cs="Arial"/>
                <w:b/>
                <w:bCs/>
                <w:color w:val="000000" w:themeColor="text1"/>
                <w:kern w:val="24"/>
                <w:sz w:val="20"/>
                <w:szCs w:val="20"/>
              </w:rPr>
            </w:pPr>
            <w:r>
              <w:rPr>
                <w:rFonts w:asciiTheme="minorHAnsi" w:eastAsia="Calibri" w:hAnsiTheme="minorHAnsi" w:cs="Arial"/>
                <w:b/>
                <w:bCs/>
                <w:color w:val="000000" w:themeColor="text1"/>
                <w:kern w:val="24"/>
                <w:sz w:val="20"/>
                <w:szCs w:val="20"/>
              </w:rPr>
              <w:t>iShares Edge MSCI USA Value Factor ETF</w:t>
            </w:r>
          </w:p>
          <w:p w14:paraId="72AD5E5A" w14:textId="269AB865" w:rsidR="00211AEE" w:rsidRDefault="00211AEE" w:rsidP="00801F9B">
            <w:pPr>
              <w:pStyle w:val="NormalWeb"/>
              <w:spacing w:before="0" w:beforeAutospacing="0" w:after="0" w:afterAutospacing="0"/>
              <w:rPr>
                <w:rFonts w:asciiTheme="minorHAnsi" w:eastAsia="Calibri" w:hAnsiTheme="minorHAnsi" w:cs="Arial"/>
                <w:b/>
                <w:bCs/>
                <w:color w:val="000000" w:themeColor="text1"/>
                <w:kern w:val="24"/>
                <w:sz w:val="20"/>
                <w:szCs w:val="20"/>
              </w:rPr>
            </w:pPr>
            <w:r>
              <w:rPr>
                <w:rFonts w:asciiTheme="minorHAnsi" w:eastAsia="Calibri" w:hAnsiTheme="minorHAnsi" w:cs="Arial"/>
                <w:b/>
                <w:bCs/>
                <w:color w:val="000000" w:themeColor="text1"/>
                <w:kern w:val="24"/>
                <w:sz w:val="20"/>
                <w:szCs w:val="20"/>
              </w:rPr>
              <w:t>(Index)</w:t>
            </w:r>
          </w:p>
          <w:p w14:paraId="245168AC" w14:textId="0E27D37D" w:rsidR="00801F9B" w:rsidRDefault="00801F9B" w:rsidP="00801F9B">
            <w:pPr>
              <w:pStyle w:val="NormalWeb"/>
              <w:spacing w:before="0" w:beforeAutospacing="0" w:after="0" w:afterAutospacing="0"/>
              <w:rPr>
                <w:rFonts w:asciiTheme="minorHAnsi" w:eastAsia="Calibri" w:hAnsiTheme="minorHAnsi" w:cs="Arial"/>
                <w:b/>
                <w:bCs/>
                <w:color w:val="000000" w:themeColor="text1"/>
                <w:kern w:val="24"/>
                <w:sz w:val="20"/>
                <w:szCs w:val="20"/>
              </w:rPr>
            </w:pP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tbl>
            <w:tblPr>
              <w:tblW w:w="8243" w:type="dxa"/>
              <w:tblLayout w:type="fixed"/>
              <w:tblLook w:val="04A0" w:firstRow="1" w:lastRow="0" w:firstColumn="1" w:lastColumn="0" w:noHBand="0" w:noVBand="1"/>
            </w:tblPr>
            <w:tblGrid>
              <w:gridCol w:w="5000"/>
              <w:gridCol w:w="3243"/>
            </w:tblGrid>
            <w:tr w:rsidR="00801F9B" w:rsidRPr="000F12A1" w14:paraId="0B8533FB" w14:textId="77777777" w:rsidTr="003D6AAA">
              <w:trPr>
                <w:trHeight w:val="255"/>
              </w:trPr>
              <w:tc>
                <w:tcPr>
                  <w:tcW w:w="5000" w:type="dxa"/>
                  <w:tcBorders>
                    <w:top w:val="nil"/>
                    <w:left w:val="nil"/>
                    <w:bottom w:val="single" w:sz="4" w:space="0" w:color="A6A6A6" w:themeColor="background1" w:themeShade="A6"/>
                    <w:right w:val="nil"/>
                  </w:tcBorders>
                  <w:shd w:val="clear" w:color="auto" w:fill="auto"/>
                  <w:noWrap/>
                  <w:vAlign w:val="bottom"/>
                </w:tcPr>
                <w:p w14:paraId="5883AD82" w14:textId="77777777" w:rsidR="00801F9B" w:rsidRPr="000F12A1" w:rsidRDefault="00801F9B" w:rsidP="00801F9B">
                  <w:pPr>
                    <w:rPr>
                      <w:rFonts w:eastAsia="Times New Roman" w:cs="Arial"/>
                      <w:sz w:val="20"/>
                      <w:szCs w:val="20"/>
                      <w:lang w:val="en-GB" w:eastAsia="en-GB"/>
                    </w:rPr>
                  </w:pPr>
                </w:p>
              </w:tc>
              <w:tc>
                <w:tcPr>
                  <w:tcW w:w="3243" w:type="dxa"/>
                  <w:tcBorders>
                    <w:top w:val="nil"/>
                    <w:left w:val="nil"/>
                    <w:bottom w:val="single" w:sz="4" w:space="0" w:color="A6A6A6" w:themeColor="background1" w:themeShade="A6"/>
                    <w:right w:val="nil"/>
                  </w:tcBorders>
                  <w:shd w:val="clear" w:color="auto" w:fill="auto"/>
                  <w:noWrap/>
                  <w:vAlign w:val="center"/>
                </w:tcPr>
                <w:p w14:paraId="4EA42DFD" w14:textId="28E92553" w:rsidR="00801F9B" w:rsidRPr="000F12A1" w:rsidRDefault="00801F9B" w:rsidP="00801F9B">
                  <w:pPr>
                    <w:jc w:val="center"/>
                    <w:rPr>
                      <w:rFonts w:eastAsia="Times New Roman" w:cs="Arial"/>
                      <w:b/>
                      <w:bCs/>
                      <w:sz w:val="20"/>
                      <w:szCs w:val="20"/>
                      <w:lang w:val="en-GB" w:eastAsia="en-GB"/>
                    </w:rPr>
                  </w:pPr>
                  <w:r>
                    <w:rPr>
                      <w:rFonts w:ascii="BLK Fort" w:hAnsi="BLK Fort" w:cs="Arial"/>
                      <w:b/>
                      <w:bCs/>
                      <w:color w:val="000000"/>
                      <w:sz w:val="20"/>
                      <w:szCs w:val="20"/>
                    </w:rPr>
                    <w:t>Year to 31 March 202</w:t>
                  </w:r>
                  <w:r w:rsidR="00211AEE">
                    <w:rPr>
                      <w:rFonts w:ascii="BLK Fort" w:hAnsi="BLK Fort" w:cs="Arial"/>
                      <w:b/>
                      <w:bCs/>
                      <w:color w:val="000000"/>
                      <w:sz w:val="20"/>
                      <w:szCs w:val="20"/>
                    </w:rPr>
                    <w:t>4</w:t>
                  </w:r>
                </w:p>
              </w:tc>
            </w:tr>
            <w:tr w:rsidR="00211AEE" w:rsidRPr="000F12A1" w14:paraId="3EE5EA35" w14:textId="77777777" w:rsidTr="003D6AAA">
              <w:trPr>
                <w:trHeight w:val="255"/>
              </w:trPr>
              <w:tc>
                <w:tcPr>
                  <w:tcW w:w="5000" w:type="dxa"/>
                  <w:tcBorders>
                    <w:top w:val="single" w:sz="4" w:space="0" w:color="A6A6A6" w:themeColor="background1" w:themeShade="A6"/>
                    <w:left w:val="nil"/>
                    <w:bottom w:val="nil"/>
                    <w:right w:val="nil"/>
                  </w:tcBorders>
                  <w:shd w:val="clear" w:color="auto" w:fill="auto"/>
                  <w:noWrap/>
                  <w:vAlign w:val="bottom"/>
                  <w:hideMark/>
                </w:tcPr>
                <w:p w14:paraId="1027DB56" w14:textId="77777777" w:rsidR="00211AEE" w:rsidRPr="000F12A1" w:rsidRDefault="00211AEE" w:rsidP="00211AEE">
                  <w:pPr>
                    <w:rPr>
                      <w:rFonts w:eastAsia="Times New Roman" w:cs="Arial"/>
                      <w:sz w:val="20"/>
                      <w:szCs w:val="20"/>
                      <w:lang w:val="en-GB" w:eastAsia="en-GB"/>
                    </w:rPr>
                  </w:pPr>
                  <w:r w:rsidRPr="000F12A1">
                    <w:rPr>
                      <w:rFonts w:eastAsia="Times New Roman" w:cs="Arial"/>
                      <w:sz w:val="20"/>
                      <w:szCs w:val="20"/>
                      <w:lang w:val="en-GB" w:eastAsia="en-GB"/>
                    </w:rPr>
                    <w:t>Votable proposals</w:t>
                  </w:r>
                </w:p>
              </w:tc>
              <w:tc>
                <w:tcPr>
                  <w:tcW w:w="3243" w:type="dxa"/>
                  <w:tcBorders>
                    <w:top w:val="single" w:sz="4" w:space="0" w:color="A6A6A6" w:themeColor="background1" w:themeShade="A6"/>
                    <w:left w:val="nil"/>
                    <w:bottom w:val="nil"/>
                    <w:right w:val="nil"/>
                  </w:tcBorders>
                  <w:shd w:val="clear" w:color="auto" w:fill="auto"/>
                  <w:noWrap/>
                </w:tcPr>
                <w:p w14:paraId="641619BA" w14:textId="13499C80" w:rsidR="00211AEE" w:rsidRPr="00237000" w:rsidRDefault="00211AEE" w:rsidP="00211AEE">
                  <w:pPr>
                    <w:jc w:val="center"/>
                    <w:rPr>
                      <w:rFonts w:eastAsia="Times New Roman" w:cs="Arial"/>
                      <w:sz w:val="20"/>
                      <w:szCs w:val="20"/>
                      <w:lang w:val="en-GB" w:eastAsia="en-GB"/>
                    </w:rPr>
                  </w:pPr>
                  <w:r w:rsidRPr="008570B6">
                    <w:t>2,</w:t>
                  </w:r>
                  <w:r>
                    <w:t>078</w:t>
                  </w:r>
                </w:p>
              </w:tc>
            </w:tr>
            <w:tr w:rsidR="00211AEE" w:rsidRPr="000F12A1" w14:paraId="6E0F86E0" w14:textId="77777777" w:rsidTr="003D6AAA">
              <w:trPr>
                <w:trHeight w:val="255"/>
              </w:trPr>
              <w:tc>
                <w:tcPr>
                  <w:tcW w:w="5000" w:type="dxa"/>
                  <w:tcBorders>
                    <w:top w:val="nil"/>
                    <w:left w:val="nil"/>
                    <w:bottom w:val="nil"/>
                    <w:right w:val="nil"/>
                  </w:tcBorders>
                  <w:shd w:val="clear" w:color="auto" w:fill="auto"/>
                  <w:noWrap/>
                  <w:vAlign w:val="bottom"/>
                </w:tcPr>
                <w:p w14:paraId="1556D3D7" w14:textId="77777777" w:rsidR="00211AEE" w:rsidRPr="000F12A1" w:rsidRDefault="00211AEE" w:rsidP="00211AEE">
                  <w:pPr>
                    <w:rPr>
                      <w:rFonts w:eastAsia="Times New Roman" w:cs="Arial"/>
                      <w:sz w:val="20"/>
                      <w:szCs w:val="20"/>
                      <w:lang w:val="en-GB" w:eastAsia="en-GB"/>
                    </w:rPr>
                  </w:pPr>
                  <w:r w:rsidRPr="000F12A1">
                    <w:rPr>
                      <w:rFonts w:eastAsia="Times New Roman" w:cs="Arial"/>
                      <w:sz w:val="20"/>
                      <w:szCs w:val="20"/>
                      <w:lang w:val="en-GB" w:eastAsia="en-GB"/>
                    </w:rPr>
                    <w:t>% of resolutions voted</w:t>
                  </w:r>
                </w:p>
              </w:tc>
              <w:tc>
                <w:tcPr>
                  <w:tcW w:w="3243" w:type="dxa"/>
                  <w:tcBorders>
                    <w:top w:val="nil"/>
                    <w:left w:val="nil"/>
                    <w:bottom w:val="nil"/>
                    <w:right w:val="nil"/>
                  </w:tcBorders>
                  <w:shd w:val="clear" w:color="auto" w:fill="auto"/>
                  <w:noWrap/>
                </w:tcPr>
                <w:p w14:paraId="3F0997C0" w14:textId="11558ACF" w:rsidR="00211AEE" w:rsidRPr="00237000" w:rsidRDefault="00211AEE" w:rsidP="00211AEE">
                  <w:pPr>
                    <w:jc w:val="center"/>
                    <w:rPr>
                      <w:rFonts w:eastAsia="Times New Roman" w:cs="Arial"/>
                      <w:sz w:val="20"/>
                      <w:szCs w:val="20"/>
                      <w:lang w:val="en-GB" w:eastAsia="en-GB"/>
                    </w:rPr>
                  </w:pPr>
                  <w:r>
                    <w:t>100</w:t>
                  </w:r>
                  <w:r w:rsidRPr="00237000">
                    <w:t>%</w:t>
                  </w:r>
                </w:p>
              </w:tc>
            </w:tr>
            <w:tr w:rsidR="00211AEE" w:rsidRPr="000F12A1" w14:paraId="4F9EB98B" w14:textId="77777777" w:rsidTr="003D6AAA">
              <w:trPr>
                <w:trHeight w:val="255"/>
              </w:trPr>
              <w:tc>
                <w:tcPr>
                  <w:tcW w:w="5000" w:type="dxa"/>
                  <w:tcBorders>
                    <w:top w:val="nil"/>
                    <w:left w:val="nil"/>
                    <w:bottom w:val="nil"/>
                    <w:right w:val="nil"/>
                  </w:tcBorders>
                  <w:shd w:val="clear" w:color="auto" w:fill="auto"/>
                  <w:noWrap/>
                  <w:vAlign w:val="bottom"/>
                  <w:hideMark/>
                </w:tcPr>
                <w:p w14:paraId="64B62F51" w14:textId="77777777" w:rsidR="00211AEE" w:rsidRPr="000F12A1" w:rsidRDefault="00211AEE" w:rsidP="00211AEE">
                  <w:pPr>
                    <w:rPr>
                      <w:rFonts w:eastAsia="Times New Roman" w:cs="Arial"/>
                      <w:sz w:val="20"/>
                      <w:szCs w:val="20"/>
                      <w:lang w:val="en-GB" w:eastAsia="en-GB"/>
                    </w:rPr>
                  </w:pPr>
                  <w:r w:rsidRPr="000F12A1">
                    <w:rPr>
                      <w:rFonts w:eastAsia="Times New Roman" w:cs="Arial"/>
                      <w:sz w:val="20"/>
                      <w:szCs w:val="20"/>
                      <w:lang w:val="en-GB" w:eastAsia="en-GB"/>
                    </w:rPr>
                    <w:t>% of resolutions voted against management</w:t>
                  </w:r>
                </w:p>
              </w:tc>
              <w:tc>
                <w:tcPr>
                  <w:tcW w:w="3243" w:type="dxa"/>
                  <w:tcBorders>
                    <w:top w:val="nil"/>
                    <w:left w:val="nil"/>
                    <w:bottom w:val="nil"/>
                    <w:right w:val="nil"/>
                  </w:tcBorders>
                  <w:shd w:val="clear" w:color="auto" w:fill="auto"/>
                  <w:noWrap/>
                </w:tcPr>
                <w:p w14:paraId="3C421EA7" w14:textId="2ECBC2E3" w:rsidR="00211AEE" w:rsidRPr="00237000" w:rsidRDefault="00211AEE" w:rsidP="00211AEE">
                  <w:pPr>
                    <w:jc w:val="center"/>
                    <w:rPr>
                      <w:rFonts w:eastAsia="Times New Roman" w:cs="Arial"/>
                      <w:sz w:val="20"/>
                      <w:szCs w:val="20"/>
                      <w:lang w:val="en-GB" w:eastAsia="en-GB"/>
                    </w:rPr>
                  </w:pPr>
                  <w:r>
                    <w:t>1</w:t>
                  </w:r>
                  <w:r w:rsidRPr="00237000">
                    <w:t>%</w:t>
                  </w:r>
                </w:p>
              </w:tc>
            </w:tr>
            <w:tr w:rsidR="00211AEE" w:rsidRPr="000F12A1" w14:paraId="69F0790F" w14:textId="77777777" w:rsidTr="003D6AAA">
              <w:trPr>
                <w:trHeight w:val="255"/>
              </w:trPr>
              <w:tc>
                <w:tcPr>
                  <w:tcW w:w="5000" w:type="dxa"/>
                  <w:tcBorders>
                    <w:top w:val="nil"/>
                    <w:left w:val="nil"/>
                    <w:bottom w:val="nil"/>
                    <w:right w:val="nil"/>
                  </w:tcBorders>
                  <w:shd w:val="clear" w:color="auto" w:fill="auto"/>
                  <w:noWrap/>
                  <w:vAlign w:val="bottom"/>
                  <w:hideMark/>
                </w:tcPr>
                <w:p w14:paraId="1740F146" w14:textId="77777777" w:rsidR="00211AEE" w:rsidRPr="000F12A1" w:rsidRDefault="00211AEE" w:rsidP="00211AEE">
                  <w:pPr>
                    <w:rPr>
                      <w:rFonts w:eastAsia="Times New Roman" w:cs="Arial"/>
                      <w:sz w:val="20"/>
                      <w:szCs w:val="20"/>
                      <w:lang w:val="en-GB" w:eastAsia="en-GB"/>
                    </w:rPr>
                  </w:pPr>
                  <w:r w:rsidRPr="000F12A1">
                    <w:rPr>
                      <w:rFonts w:eastAsia="Times New Roman" w:cs="Arial"/>
                      <w:sz w:val="20"/>
                      <w:szCs w:val="20"/>
                      <w:lang w:val="en-GB" w:eastAsia="en-GB"/>
                    </w:rPr>
                    <w:t xml:space="preserve">% of resolutions abstained </w:t>
                  </w:r>
                </w:p>
              </w:tc>
              <w:tc>
                <w:tcPr>
                  <w:tcW w:w="3243" w:type="dxa"/>
                  <w:tcBorders>
                    <w:top w:val="nil"/>
                    <w:left w:val="nil"/>
                    <w:bottom w:val="nil"/>
                    <w:right w:val="nil"/>
                  </w:tcBorders>
                  <w:shd w:val="clear" w:color="auto" w:fill="auto"/>
                  <w:noWrap/>
                </w:tcPr>
                <w:p w14:paraId="3174D3DC" w14:textId="5A003B3B" w:rsidR="00211AEE" w:rsidRPr="00237000" w:rsidRDefault="00211AEE" w:rsidP="00211AEE">
                  <w:pPr>
                    <w:jc w:val="center"/>
                    <w:rPr>
                      <w:rFonts w:eastAsia="Times New Roman" w:cs="Arial"/>
                      <w:sz w:val="20"/>
                      <w:szCs w:val="20"/>
                      <w:lang w:val="en-GB" w:eastAsia="en-GB"/>
                    </w:rPr>
                  </w:pPr>
                  <w:r w:rsidRPr="00237000">
                    <w:t>0%</w:t>
                  </w:r>
                </w:p>
              </w:tc>
            </w:tr>
          </w:tbl>
          <w:p w14:paraId="62295DC2" w14:textId="77777777" w:rsidR="00801F9B" w:rsidRPr="000F12A1" w:rsidDel="00996096" w:rsidRDefault="00801F9B" w:rsidP="00801F9B">
            <w:pPr>
              <w:rPr>
                <w:rFonts w:eastAsia="Times New Roman" w:cs="Arial"/>
                <w:sz w:val="20"/>
                <w:szCs w:val="20"/>
                <w:lang w:val="en-GB" w:eastAsia="en-GB"/>
              </w:rPr>
            </w:pPr>
          </w:p>
        </w:tc>
      </w:tr>
      <w:tr w:rsidR="0060743B" w:rsidRPr="004C2CEB" w14:paraId="29941E33"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tcPr>
          <w:p w14:paraId="788E7842" w14:textId="77777777" w:rsidR="0060743B" w:rsidRDefault="0060743B" w:rsidP="0060743B">
            <w:pPr>
              <w:pStyle w:val="NormalWeb"/>
              <w:spacing w:before="0" w:beforeAutospacing="0" w:after="0" w:afterAutospacing="0"/>
              <w:rPr>
                <w:rFonts w:asciiTheme="minorHAnsi" w:eastAsia="Calibri" w:hAnsiTheme="minorHAnsi" w:cs="Arial"/>
                <w:b/>
                <w:bCs/>
                <w:color w:val="000000" w:themeColor="text1"/>
                <w:kern w:val="24"/>
                <w:sz w:val="20"/>
                <w:szCs w:val="20"/>
              </w:rPr>
            </w:pPr>
            <w:r w:rsidRPr="00D01445">
              <w:rPr>
                <w:rFonts w:asciiTheme="minorHAnsi" w:eastAsia="Calibri" w:hAnsiTheme="minorHAnsi" w:cs="Arial"/>
                <w:b/>
                <w:bCs/>
                <w:color w:val="000000" w:themeColor="text1"/>
                <w:kern w:val="24"/>
                <w:sz w:val="20"/>
                <w:szCs w:val="20"/>
              </w:rPr>
              <w:t xml:space="preserve">iShares MSCI EMU ETF </w:t>
            </w:r>
            <w:r>
              <w:rPr>
                <w:rFonts w:asciiTheme="minorHAnsi" w:eastAsia="Calibri" w:hAnsiTheme="minorHAnsi" w:cs="Arial"/>
                <w:b/>
                <w:bCs/>
                <w:color w:val="000000" w:themeColor="text1"/>
                <w:kern w:val="24"/>
                <w:sz w:val="20"/>
                <w:szCs w:val="20"/>
              </w:rPr>
              <w:t>(Index)</w:t>
            </w:r>
          </w:p>
          <w:p w14:paraId="6E64E70D" w14:textId="0CA8779D" w:rsidR="0060743B" w:rsidRDefault="0060743B" w:rsidP="0060743B">
            <w:pPr>
              <w:pStyle w:val="NormalWeb"/>
              <w:spacing w:before="0" w:beforeAutospacing="0" w:after="0" w:afterAutospacing="0"/>
              <w:rPr>
                <w:rFonts w:asciiTheme="minorHAnsi" w:eastAsia="Calibri" w:hAnsiTheme="minorHAnsi" w:cs="Arial"/>
                <w:b/>
                <w:bCs/>
                <w:color w:val="000000" w:themeColor="text1"/>
                <w:kern w:val="24"/>
                <w:sz w:val="20"/>
                <w:szCs w:val="20"/>
              </w:rPr>
            </w:pPr>
            <w:r w:rsidRPr="00AF27C0">
              <w:rPr>
                <w:rFonts w:asciiTheme="minorHAnsi" w:eastAsia="Calibri" w:hAnsiTheme="minorHAnsi" w:cs="Arial"/>
                <w:i/>
                <w:iCs/>
                <w:color w:val="000000" w:themeColor="text1"/>
                <w:kern w:val="24"/>
                <w:sz w:val="17"/>
                <w:szCs w:val="17"/>
              </w:rPr>
              <w:t>(</w:t>
            </w:r>
            <w:r>
              <w:rPr>
                <w:rFonts w:asciiTheme="minorHAnsi" w:eastAsia="Calibri" w:hAnsiTheme="minorHAnsi" w:cs="Arial"/>
                <w:i/>
                <w:iCs/>
                <w:color w:val="000000" w:themeColor="text1"/>
                <w:kern w:val="24"/>
                <w:sz w:val="17"/>
                <w:szCs w:val="17"/>
              </w:rPr>
              <w:t>Bought</w:t>
            </w:r>
            <w:r w:rsidRPr="00AF27C0">
              <w:rPr>
                <w:rFonts w:asciiTheme="minorHAnsi" w:eastAsia="Calibri" w:hAnsiTheme="minorHAnsi" w:cs="Arial"/>
                <w:i/>
                <w:iCs/>
                <w:color w:val="000000" w:themeColor="text1"/>
                <w:kern w:val="24"/>
                <w:sz w:val="17"/>
                <w:szCs w:val="17"/>
              </w:rPr>
              <w:t xml:space="preserve"> in </w:t>
            </w:r>
            <w:r>
              <w:rPr>
                <w:rFonts w:asciiTheme="minorHAnsi" w:eastAsia="Calibri" w:hAnsiTheme="minorHAnsi" w:cs="Arial"/>
                <w:i/>
                <w:iCs/>
                <w:color w:val="000000" w:themeColor="text1"/>
                <w:kern w:val="24"/>
                <w:sz w:val="17"/>
                <w:szCs w:val="17"/>
              </w:rPr>
              <w:t>December 2023)</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tbl>
            <w:tblPr>
              <w:tblW w:w="8243" w:type="dxa"/>
              <w:tblLayout w:type="fixed"/>
              <w:tblLook w:val="04A0" w:firstRow="1" w:lastRow="0" w:firstColumn="1" w:lastColumn="0" w:noHBand="0" w:noVBand="1"/>
            </w:tblPr>
            <w:tblGrid>
              <w:gridCol w:w="5000"/>
              <w:gridCol w:w="3243"/>
            </w:tblGrid>
            <w:tr w:rsidR="0060743B" w:rsidRPr="000F12A1" w14:paraId="2E8F6259" w14:textId="77777777" w:rsidTr="00AA695A">
              <w:trPr>
                <w:trHeight w:val="255"/>
              </w:trPr>
              <w:tc>
                <w:tcPr>
                  <w:tcW w:w="5000" w:type="dxa"/>
                  <w:tcBorders>
                    <w:top w:val="nil"/>
                    <w:left w:val="nil"/>
                    <w:bottom w:val="single" w:sz="4" w:space="0" w:color="A6A6A6" w:themeColor="background1" w:themeShade="A6"/>
                    <w:right w:val="nil"/>
                  </w:tcBorders>
                  <w:shd w:val="clear" w:color="auto" w:fill="auto"/>
                  <w:noWrap/>
                  <w:vAlign w:val="bottom"/>
                </w:tcPr>
                <w:p w14:paraId="4000C95B" w14:textId="77777777" w:rsidR="0060743B" w:rsidRPr="000F12A1" w:rsidRDefault="0060743B" w:rsidP="0060743B">
                  <w:pPr>
                    <w:rPr>
                      <w:rFonts w:eastAsia="Times New Roman" w:cs="Arial"/>
                      <w:sz w:val="20"/>
                      <w:szCs w:val="20"/>
                      <w:lang w:val="en-GB" w:eastAsia="en-GB"/>
                    </w:rPr>
                  </w:pPr>
                </w:p>
              </w:tc>
              <w:tc>
                <w:tcPr>
                  <w:tcW w:w="3243" w:type="dxa"/>
                  <w:tcBorders>
                    <w:top w:val="nil"/>
                    <w:left w:val="nil"/>
                    <w:bottom w:val="single" w:sz="4" w:space="0" w:color="A6A6A6" w:themeColor="background1" w:themeShade="A6"/>
                    <w:right w:val="nil"/>
                  </w:tcBorders>
                  <w:shd w:val="clear" w:color="auto" w:fill="auto"/>
                  <w:noWrap/>
                  <w:vAlign w:val="center"/>
                </w:tcPr>
                <w:p w14:paraId="79398424" w14:textId="77777777" w:rsidR="0060743B" w:rsidRPr="000F12A1" w:rsidRDefault="0060743B" w:rsidP="0060743B">
                  <w:pPr>
                    <w:jc w:val="center"/>
                    <w:rPr>
                      <w:rFonts w:eastAsia="Times New Roman" w:cs="Arial"/>
                      <w:b/>
                      <w:bCs/>
                      <w:sz w:val="20"/>
                      <w:szCs w:val="20"/>
                      <w:lang w:val="en-GB" w:eastAsia="en-GB"/>
                    </w:rPr>
                  </w:pPr>
                  <w:r>
                    <w:rPr>
                      <w:rFonts w:ascii="BLK Fort" w:hAnsi="BLK Fort" w:cs="Arial"/>
                      <w:b/>
                      <w:bCs/>
                      <w:color w:val="000000"/>
                      <w:sz w:val="20"/>
                      <w:szCs w:val="20"/>
                    </w:rPr>
                    <w:t>Year to 31 March 2024</w:t>
                  </w:r>
                </w:p>
              </w:tc>
            </w:tr>
            <w:tr w:rsidR="0060743B" w:rsidRPr="00237000" w14:paraId="4224228B" w14:textId="77777777" w:rsidTr="00AA695A">
              <w:trPr>
                <w:trHeight w:val="255"/>
              </w:trPr>
              <w:tc>
                <w:tcPr>
                  <w:tcW w:w="5000" w:type="dxa"/>
                  <w:tcBorders>
                    <w:top w:val="single" w:sz="4" w:space="0" w:color="A6A6A6" w:themeColor="background1" w:themeShade="A6"/>
                    <w:left w:val="nil"/>
                    <w:bottom w:val="nil"/>
                    <w:right w:val="nil"/>
                  </w:tcBorders>
                  <w:shd w:val="clear" w:color="auto" w:fill="auto"/>
                  <w:noWrap/>
                  <w:vAlign w:val="bottom"/>
                  <w:hideMark/>
                </w:tcPr>
                <w:p w14:paraId="4DBCC12E" w14:textId="77777777" w:rsidR="0060743B" w:rsidRPr="000F12A1" w:rsidRDefault="0060743B" w:rsidP="0060743B">
                  <w:pPr>
                    <w:rPr>
                      <w:rFonts w:eastAsia="Times New Roman" w:cs="Arial"/>
                      <w:sz w:val="20"/>
                      <w:szCs w:val="20"/>
                      <w:lang w:val="en-GB" w:eastAsia="en-GB"/>
                    </w:rPr>
                  </w:pPr>
                  <w:r w:rsidRPr="000F12A1">
                    <w:rPr>
                      <w:rFonts w:eastAsia="Times New Roman" w:cs="Arial"/>
                      <w:sz w:val="20"/>
                      <w:szCs w:val="20"/>
                      <w:lang w:val="en-GB" w:eastAsia="en-GB"/>
                    </w:rPr>
                    <w:t>Votable proposals</w:t>
                  </w:r>
                </w:p>
              </w:tc>
              <w:tc>
                <w:tcPr>
                  <w:tcW w:w="3243" w:type="dxa"/>
                  <w:tcBorders>
                    <w:top w:val="single" w:sz="4" w:space="0" w:color="A6A6A6" w:themeColor="background1" w:themeShade="A6"/>
                    <w:left w:val="nil"/>
                    <w:bottom w:val="nil"/>
                    <w:right w:val="nil"/>
                  </w:tcBorders>
                  <w:shd w:val="clear" w:color="auto" w:fill="auto"/>
                  <w:noWrap/>
                </w:tcPr>
                <w:p w14:paraId="5D4BDB2D" w14:textId="39B3EB6F" w:rsidR="0060743B" w:rsidRPr="00237000" w:rsidRDefault="0060743B" w:rsidP="0060743B">
                  <w:pPr>
                    <w:jc w:val="center"/>
                    <w:rPr>
                      <w:rFonts w:eastAsia="Times New Roman" w:cs="Arial"/>
                      <w:sz w:val="20"/>
                      <w:szCs w:val="20"/>
                      <w:lang w:val="en-GB" w:eastAsia="en-GB"/>
                    </w:rPr>
                  </w:pPr>
                  <w:r w:rsidRPr="00AB0E88">
                    <w:t>3,903</w:t>
                  </w:r>
                </w:p>
              </w:tc>
            </w:tr>
            <w:tr w:rsidR="0060743B" w:rsidRPr="00237000" w14:paraId="1F94130B" w14:textId="77777777" w:rsidTr="00AA695A">
              <w:trPr>
                <w:trHeight w:val="255"/>
              </w:trPr>
              <w:tc>
                <w:tcPr>
                  <w:tcW w:w="5000" w:type="dxa"/>
                  <w:tcBorders>
                    <w:top w:val="nil"/>
                    <w:left w:val="nil"/>
                    <w:bottom w:val="nil"/>
                    <w:right w:val="nil"/>
                  </w:tcBorders>
                  <w:shd w:val="clear" w:color="auto" w:fill="auto"/>
                  <w:noWrap/>
                  <w:vAlign w:val="bottom"/>
                </w:tcPr>
                <w:p w14:paraId="7F4DF620" w14:textId="77777777" w:rsidR="0060743B" w:rsidRPr="000F12A1" w:rsidRDefault="0060743B" w:rsidP="0060743B">
                  <w:pPr>
                    <w:rPr>
                      <w:rFonts w:eastAsia="Times New Roman" w:cs="Arial"/>
                      <w:sz w:val="20"/>
                      <w:szCs w:val="20"/>
                      <w:lang w:val="en-GB" w:eastAsia="en-GB"/>
                    </w:rPr>
                  </w:pPr>
                  <w:r w:rsidRPr="000F12A1">
                    <w:rPr>
                      <w:rFonts w:eastAsia="Times New Roman" w:cs="Arial"/>
                      <w:sz w:val="20"/>
                      <w:szCs w:val="20"/>
                      <w:lang w:val="en-GB" w:eastAsia="en-GB"/>
                    </w:rPr>
                    <w:t>% of resolutions voted</w:t>
                  </w:r>
                </w:p>
              </w:tc>
              <w:tc>
                <w:tcPr>
                  <w:tcW w:w="3243" w:type="dxa"/>
                  <w:tcBorders>
                    <w:top w:val="nil"/>
                    <w:left w:val="nil"/>
                    <w:bottom w:val="nil"/>
                    <w:right w:val="nil"/>
                  </w:tcBorders>
                  <w:shd w:val="clear" w:color="auto" w:fill="auto"/>
                  <w:noWrap/>
                </w:tcPr>
                <w:p w14:paraId="6CE81C56" w14:textId="465BD492" w:rsidR="0060743B" w:rsidRPr="00237000" w:rsidRDefault="0060743B" w:rsidP="0060743B">
                  <w:pPr>
                    <w:jc w:val="center"/>
                    <w:rPr>
                      <w:rFonts w:eastAsia="Times New Roman" w:cs="Arial"/>
                      <w:sz w:val="20"/>
                      <w:szCs w:val="20"/>
                      <w:lang w:val="en-GB" w:eastAsia="en-GB"/>
                    </w:rPr>
                  </w:pPr>
                  <w:r w:rsidRPr="00AB0E88">
                    <w:t>99%</w:t>
                  </w:r>
                </w:p>
              </w:tc>
            </w:tr>
            <w:tr w:rsidR="0060743B" w:rsidRPr="00237000" w14:paraId="3FAE0C73" w14:textId="77777777" w:rsidTr="00AA695A">
              <w:trPr>
                <w:trHeight w:val="255"/>
              </w:trPr>
              <w:tc>
                <w:tcPr>
                  <w:tcW w:w="5000" w:type="dxa"/>
                  <w:tcBorders>
                    <w:top w:val="nil"/>
                    <w:left w:val="nil"/>
                    <w:bottom w:val="nil"/>
                    <w:right w:val="nil"/>
                  </w:tcBorders>
                  <w:shd w:val="clear" w:color="auto" w:fill="auto"/>
                  <w:noWrap/>
                  <w:vAlign w:val="bottom"/>
                  <w:hideMark/>
                </w:tcPr>
                <w:p w14:paraId="0EAB53F5" w14:textId="77777777" w:rsidR="0060743B" w:rsidRPr="000F12A1" w:rsidRDefault="0060743B" w:rsidP="0060743B">
                  <w:pPr>
                    <w:rPr>
                      <w:rFonts w:eastAsia="Times New Roman" w:cs="Arial"/>
                      <w:sz w:val="20"/>
                      <w:szCs w:val="20"/>
                      <w:lang w:val="en-GB" w:eastAsia="en-GB"/>
                    </w:rPr>
                  </w:pPr>
                  <w:r w:rsidRPr="000F12A1">
                    <w:rPr>
                      <w:rFonts w:eastAsia="Times New Roman" w:cs="Arial"/>
                      <w:sz w:val="20"/>
                      <w:szCs w:val="20"/>
                      <w:lang w:val="en-GB" w:eastAsia="en-GB"/>
                    </w:rPr>
                    <w:t>% of resolutions voted against management</w:t>
                  </w:r>
                </w:p>
              </w:tc>
              <w:tc>
                <w:tcPr>
                  <w:tcW w:w="3243" w:type="dxa"/>
                  <w:tcBorders>
                    <w:top w:val="nil"/>
                    <w:left w:val="nil"/>
                    <w:bottom w:val="nil"/>
                    <w:right w:val="nil"/>
                  </w:tcBorders>
                  <w:shd w:val="clear" w:color="auto" w:fill="auto"/>
                  <w:noWrap/>
                </w:tcPr>
                <w:p w14:paraId="5DC09201" w14:textId="4BF6B74F" w:rsidR="0060743B" w:rsidRPr="00237000" w:rsidRDefault="0060743B" w:rsidP="0060743B">
                  <w:pPr>
                    <w:jc w:val="center"/>
                    <w:rPr>
                      <w:rFonts w:eastAsia="Times New Roman" w:cs="Arial"/>
                      <w:sz w:val="20"/>
                      <w:szCs w:val="20"/>
                      <w:lang w:val="en-GB" w:eastAsia="en-GB"/>
                    </w:rPr>
                  </w:pPr>
                  <w:r w:rsidRPr="00AB0E88">
                    <w:t>9%</w:t>
                  </w:r>
                </w:p>
              </w:tc>
            </w:tr>
            <w:tr w:rsidR="0060743B" w:rsidRPr="00237000" w14:paraId="485974B3" w14:textId="77777777" w:rsidTr="00AA695A">
              <w:trPr>
                <w:trHeight w:val="255"/>
              </w:trPr>
              <w:tc>
                <w:tcPr>
                  <w:tcW w:w="5000" w:type="dxa"/>
                  <w:tcBorders>
                    <w:top w:val="nil"/>
                    <w:left w:val="nil"/>
                    <w:bottom w:val="nil"/>
                    <w:right w:val="nil"/>
                  </w:tcBorders>
                  <w:shd w:val="clear" w:color="auto" w:fill="auto"/>
                  <w:noWrap/>
                  <w:vAlign w:val="bottom"/>
                  <w:hideMark/>
                </w:tcPr>
                <w:p w14:paraId="13207AB0" w14:textId="77777777" w:rsidR="0060743B" w:rsidRPr="000F12A1" w:rsidRDefault="0060743B" w:rsidP="0060743B">
                  <w:pPr>
                    <w:rPr>
                      <w:rFonts w:eastAsia="Times New Roman" w:cs="Arial"/>
                      <w:sz w:val="20"/>
                      <w:szCs w:val="20"/>
                      <w:lang w:val="en-GB" w:eastAsia="en-GB"/>
                    </w:rPr>
                  </w:pPr>
                  <w:r w:rsidRPr="000F12A1">
                    <w:rPr>
                      <w:rFonts w:eastAsia="Times New Roman" w:cs="Arial"/>
                      <w:sz w:val="20"/>
                      <w:szCs w:val="20"/>
                      <w:lang w:val="en-GB" w:eastAsia="en-GB"/>
                    </w:rPr>
                    <w:t xml:space="preserve">% of resolutions abstained </w:t>
                  </w:r>
                </w:p>
              </w:tc>
              <w:tc>
                <w:tcPr>
                  <w:tcW w:w="3243" w:type="dxa"/>
                  <w:tcBorders>
                    <w:top w:val="nil"/>
                    <w:left w:val="nil"/>
                    <w:bottom w:val="nil"/>
                    <w:right w:val="nil"/>
                  </w:tcBorders>
                  <w:shd w:val="clear" w:color="auto" w:fill="auto"/>
                  <w:noWrap/>
                </w:tcPr>
                <w:p w14:paraId="600F5C6C" w14:textId="52E33C79" w:rsidR="0060743B" w:rsidRPr="00237000" w:rsidRDefault="0060743B" w:rsidP="0060743B">
                  <w:pPr>
                    <w:jc w:val="center"/>
                    <w:rPr>
                      <w:rFonts w:eastAsia="Times New Roman" w:cs="Arial"/>
                      <w:sz w:val="20"/>
                      <w:szCs w:val="20"/>
                      <w:lang w:val="en-GB" w:eastAsia="en-GB"/>
                    </w:rPr>
                  </w:pPr>
                  <w:r w:rsidRPr="00AB0E88">
                    <w:t>1%</w:t>
                  </w:r>
                </w:p>
              </w:tc>
            </w:tr>
          </w:tbl>
          <w:p w14:paraId="3000CBB8" w14:textId="77777777" w:rsidR="0060743B" w:rsidRPr="000F12A1" w:rsidRDefault="0060743B" w:rsidP="0060743B">
            <w:pPr>
              <w:rPr>
                <w:rFonts w:eastAsia="Times New Roman" w:cs="Arial"/>
                <w:sz w:val="20"/>
                <w:szCs w:val="20"/>
                <w:lang w:val="en-GB" w:eastAsia="en-GB"/>
              </w:rPr>
            </w:pPr>
          </w:p>
        </w:tc>
      </w:tr>
    </w:tbl>
    <w:p w14:paraId="67538F81" w14:textId="77777777" w:rsidR="00877E81" w:rsidRPr="004C2CEB" w:rsidRDefault="00877E81" w:rsidP="00877E81">
      <w:pPr>
        <w:rPr>
          <w:b/>
          <w:bCs/>
          <w:sz w:val="20"/>
          <w:szCs w:val="20"/>
          <w:lang w:val="en-GB"/>
        </w:rPr>
      </w:pPr>
    </w:p>
    <w:p w14:paraId="0BB5484B" w14:textId="69E8C0A6" w:rsidR="00877E81" w:rsidRDefault="00877E81" w:rsidP="00877E81">
      <w:pPr>
        <w:rPr>
          <w:b/>
          <w:bCs/>
          <w:sz w:val="20"/>
          <w:szCs w:val="20"/>
          <w:lang w:val="en-GB"/>
        </w:rPr>
      </w:pPr>
    </w:p>
    <w:p w14:paraId="44A32576" w14:textId="77777777" w:rsidR="00877E81" w:rsidRPr="00247E50" w:rsidRDefault="00877E81" w:rsidP="00115C60">
      <w:pPr>
        <w:spacing w:after="120"/>
        <w:rPr>
          <w:b/>
          <w:bCs/>
          <w:sz w:val="20"/>
          <w:szCs w:val="20"/>
          <w:lang w:val="en-GB"/>
        </w:rPr>
      </w:pPr>
      <w:r w:rsidRPr="00247E50">
        <w:rPr>
          <w:b/>
          <w:bCs/>
          <w:sz w:val="20"/>
          <w:szCs w:val="20"/>
          <w:lang w:val="en-GB"/>
        </w:rPr>
        <w:t>Other investment managers</w:t>
      </w:r>
    </w:p>
    <w:p w14:paraId="41E0ECE5" w14:textId="6AD4D203" w:rsidR="00877E81" w:rsidRDefault="00877E81" w:rsidP="00115C60">
      <w:pPr>
        <w:pStyle w:val="BLKCoverDate"/>
        <w:rPr>
          <w:rFonts w:asciiTheme="minorHAnsi" w:hAnsiTheme="minorHAnsi" w:cs="Calibri"/>
          <w:lang w:val="en-GB"/>
        </w:rPr>
      </w:pPr>
      <w:r>
        <w:rPr>
          <w:rFonts w:asciiTheme="minorHAnsi" w:hAnsiTheme="minorHAnsi" w:cs="Calibri"/>
          <w:lang w:val="en-GB"/>
        </w:rPr>
        <w:t>The approach to voting and engagement of the Scheme’s other equities managers, Schroders</w:t>
      </w:r>
      <w:r w:rsidR="00E83AA5">
        <w:rPr>
          <w:rFonts w:asciiTheme="minorHAnsi" w:hAnsiTheme="minorHAnsi" w:cs="Calibri"/>
          <w:lang w:val="en-GB"/>
        </w:rPr>
        <w:t>, Wellington</w:t>
      </w:r>
      <w:r w:rsidR="00F34C85">
        <w:rPr>
          <w:rFonts w:asciiTheme="minorHAnsi" w:hAnsiTheme="minorHAnsi" w:cs="Calibri"/>
          <w:lang w:val="en-GB"/>
        </w:rPr>
        <w:t xml:space="preserve"> </w:t>
      </w:r>
      <w:r w:rsidR="00E83AA5">
        <w:rPr>
          <w:rFonts w:asciiTheme="minorHAnsi" w:hAnsiTheme="minorHAnsi" w:cs="Calibri"/>
          <w:lang w:val="en-GB"/>
        </w:rPr>
        <w:t>and JP Morgan</w:t>
      </w:r>
      <w:r>
        <w:rPr>
          <w:rFonts w:asciiTheme="minorHAnsi" w:hAnsiTheme="minorHAnsi" w:cs="Calibri"/>
          <w:lang w:val="en-GB"/>
        </w:rPr>
        <w:t xml:space="preserve">, are detailed below. These managers are appointed in relation to the Scheme’s </w:t>
      </w:r>
      <w:r w:rsidR="00E83AA5">
        <w:rPr>
          <w:rFonts w:asciiTheme="minorHAnsi" w:hAnsiTheme="minorHAnsi" w:cs="Calibri"/>
          <w:lang w:val="en-GB"/>
        </w:rPr>
        <w:t xml:space="preserve">equity </w:t>
      </w:r>
      <w:r>
        <w:rPr>
          <w:rFonts w:asciiTheme="minorHAnsi" w:hAnsiTheme="minorHAnsi" w:cs="Calibri"/>
          <w:lang w:val="en-GB"/>
        </w:rPr>
        <w:t>holdings.</w:t>
      </w:r>
    </w:p>
    <w:p w14:paraId="6CECDC8A" w14:textId="77777777" w:rsidR="00877E81" w:rsidRPr="00A340DC" w:rsidRDefault="00877E81" w:rsidP="00877E81">
      <w:pPr>
        <w:pStyle w:val="BLKCoverDate"/>
        <w:ind w:firstLine="360"/>
        <w:rPr>
          <w:rFonts w:asciiTheme="minorHAnsi" w:hAnsiTheme="minorHAnsi" w:cs="Calibri"/>
          <w:b/>
          <w:bCs/>
          <w:lang w:val="en-GB"/>
        </w:rPr>
      </w:pPr>
      <w:r w:rsidRPr="004C2CEB">
        <w:rPr>
          <w:rFonts w:asciiTheme="minorHAnsi" w:hAnsiTheme="minorHAnsi" w:cs="Calibri"/>
          <w:b/>
          <w:bCs/>
          <w:lang w:val="en-GB"/>
        </w:rPr>
        <w:t xml:space="preserve">Schroders: </w:t>
      </w:r>
    </w:p>
    <w:tbl>
      <w:tblPr>
        <w:tblW w:w="10566" w:type="dxa"/>
        <w:tblLayout w:type="fixed"/>
        <w:tblCellMar>
          <w:left w:w="0" w:type="dxa"/>
          <w:right w:w="0" w:type="dxa"/>
        </w:tblCellMar>
        <w:tblLook w:val="04A0" w:firstRow="1" w:lastRow="0" w:firstColumn="1" w:lastColumn="0" w:noHBand="0" w:noVBand="1"/>
        <w:tblCaption w:val=""/>
        <w:tblDescription w:val=""/>
      </w:tblPr>
      <w:tblGrid>
        <w:gridCol w:w="1560"/>
        <w:gridCol w:w="8788"/>
        <w:gridCol w:w="218"/>
      </w:tblGrid>
      <w:tr w:rsidR="00877E81" w:rsidRPr="004C2CEB" w14:paraId="2C7980A8"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55D581AF" w14:textId="77777777" w:rsidR="00877E81" w:rsidRPr="00480434" w:rsidRDefault="00877E81" w:rsidP="00F73720">
            <w:pPr>
              <w:pStyle w:val="NormalWeb"/>
              <w:spacing w:before="0" w:beforeAutospacing="0" w:after="0" w:afterAutospacing="0"/>
              <w:jc w:val="center"/>
              <w:rPr>
                <w:rFonts w:asciiTheme="minorHAnsi" w:eastAsia="Calibri" w:hAnsiTheme="minorHAnsi" w:cs="Arial"/>
                <w:b/>
                <w:bCs/>
                <w:color w:val="000000" w:themeColor="text1"/>
                <w:kern w:val="24"/>
                <w:sz w:val="20"/>
                <w:szCs w:val="20"/>
              </w:rPr>
            </w:pPr>
            <w:r>
              <w:rPr>
                <w:rFonts w:asciiTheme="minorHAnsi" w:eastAsia="Calibri" w:hAnsiTheme="minorHAnsi" w:cs="Arial"/>
                <w:b/>
                <w:bCs/>
                <w:color w:val="000000" w:themeColor="text1"/>
                <w:kern w:val="24"/>
                <w:sz w:val="20"/>
                <w:szCs w:val="20"/>
              </w:rPr>
              <w:t xml:space="preserve">Approach </w:t>
            </w:r>
          </w:p>
        </w:tc>
        <w:tc>
          <w:tcPr>
            <w:tcW w:w="9006" w:type="dxa"/>
            <w:gridSpan w:val="2"/>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3310D774" w14:textId="77777777" w:rsidR="00F34C85" w:rsidRDefault="00F34C85" w:rsidP="00F34C85">
            <w:pPr>
              <w:pStyle w:val="BLKCoverDate"/>
              <w:rPr>
                <w:rFonts w:asciiTheme="minorHAnsi" w:hAnsiTheme="minorHAnsi" w:cs="Calibri"/>
                <w:lang w:val="en-GB"/>
              </w:rPr>
            </w:pPr>
            <w:r w:rsidRPr="00C71C9A">
              <w:rPr>
                <w:rFonts w:asciiTheme="minorHAnsi" w:hAnsiTheme="minorHAnsi" w:cs="Calibri"/>
                <w:lang w:val="en-GB"/>
              </w:rPr>
              <w:t xml:space="preserve">The overriding principle governing </w:t>
            </w:r>
            <w:r>
              <w:rPr>
                <w:rFonts w:asciiTheme="minorHAnsi" w:hAnsiTheme="minorHAnsi" w:cs="Calibri"/>
                <w:lang w:val="en-GB"/>
              </w:rPr>
              <w:t xml:space="preserve">Schroders’ </w:t>
            </w:r>
            <w:r w:rsidRPr="00C71C9A">
              <w:rPr>
                <w:rFonts w:asciiTheme="minorHAnsi" w:hAnsiTheme="minorHAnsi" w:cs="Calibri"/>
                <w:lang w:val="en-GB"/>
              </w:rPr>
              <w:t xml:space="preserve">approach to voting is to act in the best interests of </w:t>
            </w:r>
            <w:r>
              <w:rPr>
                <w:rFonts w:asciiTheme="minorHAnsi" w:hAnsiTheme="minorHAnsi" w:cs="Calibri"/>
                <w:lang w:val="en-GB"/>
              </w:rPr>
              <w:t xml:space="preserve">its </w:t>
            </w:r>
            <w:r w:rsidRPr="00C71C9A">
              <w:rPr>
                <w:rFonts w:asciiTheme="minorHAnsi" w:hAnsiTheme="minorHAnsi" w:cs="Calibri"/>
                <w:lang w:val="en-GB"/>
              </w:rPr>
              <w:t xml:space="preserve">clients. </w:t>
            </w:r>
            <w:r>
              <w:rPr>
                <w:rFonts w:asciiTheme="minorHAnsi" w:hAnsiTheme="minorHAnsi" w:cs="Calibri"/>
                <w:lang w:val="en-GB"/>
              </w:rPr>
              <w:t xml:space="preserve">Schroders’ </w:t>
            </w:r>
            <w:r w:rsidRPr="00C71C9A">
              <w:rPr>
                <w:rFonts w:asciiTheme="minorHAnsi" w:hAnsiTheme="minorHAnsi" w:cs="Calibri"/>
                <w:lang w:val="en-GB"/>
              </w:rPr>
              <w:t xml:space="preserve">voting policy and guidelines </w:t>
            </w:r>
            <w:r>
              <w:rPr>
                <w:rFonts w:asciiTheme="minorHAnsi" w:hAnsiTheme="minorHAnsi" w:cs="Calibri"/>
                <w:lang w:val="en-GB"/>
              </w:rPr>
              <w:t xml:space="preserve">are </w:t>
            </w:r>
            <w:r w:rsidRPr="00C71C9A">
              <w:rPr>
                <w:rFonts w:asciiTheme="minorHAnsi" w:hAnsiTheme="minorHAnsi" w:cs="Calibri"/>
                <w:lang w:val="en-GB"/>
              </w:rPr>
              <w:t xml:space="preserve">outlined in </w:t>
            </w:r>
            <w:r>
              <w:rPr>
                <w:rFonts w:asciiTheme="minorHAnsi" w:hAnsiTheme="minorHAnsi" w:cs="Calibri"/>
                <w:lang w:val="en-GB"/>
              </w:rPr>
              <w:t xml:space="preserve">its publicly available </w:t>
            </w:r>
            <w:r w:rsidRPr="00C71C9A">
              <w:rPr>
                <w:rFonts w:asciiTheme="minorHAnsi" w:hAnsiTheme="minorHAnsi" w:cs="Calibri"/>
                <w:lang w:val="en-GB"/>
              </w:rPr>
              <w:t>Environmental, Social and Governance Policy</w:t>
            </w:r>
            <w:r>
              <w:rPr>
                <w:rFonts w:asciiTheme="minorHAnsi" w:hAnsiTheme="minorHAnsi" w:cs="Calibri"/>
                <w:lang w:val="en-GB"/>
              </w:rPr>
              <w:t xml:space="preserve">. </w:t>
            </w:r>
            <w:r w:rsidRPr="00C71C9A">
              <w:rPr>
                <w:rFonts w:asciiTheme="minorHAnsi" w:hAnsiTheme="minorHAnsi" w:cs="Calibri"/>
                <w:lang w:val="en-GB"/>
              </w:rPr>
              <w:t xml:space="preserve"> </w:t>
            </w:r>
            <w:r>
              <w:rPr>
                <w:rFonts w:asciiTheme="minorHAnsi" w:hAnsiTheme="minorHAnsi" w:cs="Calibri"/>
                <w:lang w:val="en-GB"/>
              </w:rPr>
              <w:t xml:space="preserve">Schroders </w:t>
            </w:r>
            <w:r w:rsidRPr="00C71C9A">
              <w:rPr>
                <w:rFonts w:asciiTheme="minorHAnsi" w:hAnsiTheme="minorHAnsi" w:cs="Calibri"/>
                <w:lang w:val="en-GB"/>
              </w:rPr>
              <w:t>evaluate</w:t>
            </w:r>
            <w:r>
              <w:rPr>
                <w:rFonts w:asciiTheme="minorHAnsi" w:hAnsiTheme="minorHAnsi" w:cs="Calibri"/>
                <w:lang w:val="en-GB"/>
              </w:rPr>
              <w:t>s</w:t>
            </w:r>
            <w:r w:rsidRPr="00C71C9A">
              <w:rPr>
                <w:rFonts w:asciiTheme="minorHAnsi" w:hAnsiTheme="minorHAnsi" w:cs="Calibri"/>
                <w:lang w:val="en-GB"/>
              </w:rPr>
              <w:t xml:space="preserve"> voting issues arising</w:t>
            </w:r>
            <w:r>
              <w:rPr>
                <w:rFonts w:asciiTheme="minorHAnsi" w:hAnsiTheme="minorHAnsi" w:cs="Calibri"/>
                <w:lang w:val="en-GB"/>
              </w:rPr>
              <w:t xml:space="preserve"> and,</w:t>
            </w:r>
            <w:r w:rsidRPr="00C71C9A">
              <w:rPr>
                <w:rFonts w:asciiTheme="minorHAnsi" w:hAnsiTheme="minorHAnsi" w:cs="Calibri"/>
                <w:lang w:val="en-GB"/>
              </w:rPr>
              <w:t xml:space="preserve"> where </w:t>
            </w:r>
            <w:r>
              <w:rPr>
                <w:rFonts w:asciiTheme="minorHAnsi" w:hAnsiTheme="minorHAnsi" w:cs="Calibri"/>
                <w:lang w:val="en-GB"/>
              </w:rPr>
              <w:t xml:space="preserve">it has </w:t>
            </w:r>
            <w:r w:rsidRPr="00C71C9A">
              <w:rPr>
                <w:rFonts w:asciiTheme="minorHAnsi" w:hAnsiTheme="minorHAnsi" w:cs="Calibri"/>
                <w:lang w:val="en-GB"/>
              </w:rPr>
              <w:t>the authority to do so, vote</w:t>
            </w:r>
            <w:r>
              <w:rPr>
                <w:rFonts w:asciiTheme="minorHAnsi" w:hAnsiTheme="minorHAnsi" w:cs="Calibri"/>
                <w:lang w:val="en-GB"/>
              </w:rPr>
              <w:t>s</w:t>
            </w:r>
            <w:r w:rsidRPr="00C71C9A">
              <w:rPr>
                <w:rFonts w:asciiTheme="minorHAnsi" w:hAnsiTheme="minorHAnsi" w:cs="Calibri"/>
                <w:lang w:val="en-GB"/>
              </w:rPr>
              <w:t xml:space="preserve"> on them in line with </w:t>
            </w:r>
            <w:r>
              <w:rPr>
                <w:rFonts w:asciiTheme="minorHAnsi" w:hAnsiTheme="minorHAnsi" w:cs="Calibri"/>
                <w:lang w:val="en-GB"/>
              </w:rPr>
              <w:t xml:space="preserve">its </w:t>
            </w:r>
            <w:r w:rsidRPr="00C71C9A">
              <w:rPr>
                <w:rFonts w:asciiTheme="minorHAnsi" w:hAnsiTheme="minorHAnsi" w:cs="Calibri"/>
                <w:lang w:val="en-GB"/>
              </w:rPr>
              <w:t xml:space="preserve">fiduciary responsibilities in what </w:t>
            </w:r>
            <w:r>
              <w:rPr>
                <w:rFonts w:asciiTheme="minorHAnsi" w:hAnsiTheme="minorHAnsi" w:cs="Calibri"/>
                <w:lang w:val="en-GB"/>
              </w:rPr>
              <w:t xml:space="preserve">it </w:t>
            </w:r>
            <w:r w:rsidRPr="00C71C9A">
              <w:rPr>
                <w:rFonts w:asciiTheme="minorHAnsi" w:hAnsiTheme="minorHAnsi" w:cs="Calibri"/>
                <w:lang w:val="en-GB"/>
              </w:rPr>
              <w:t>deem</w:t>
            </w:r>
            <w:r>
              <w:rPr>
                <w:rFonts w:asciiTheme="minorHAnsi" w:hAnsiTheme="minorHAnsi" w:cs="Calibri"/>
                <w:lang w:val="en-GB"/>
              </w:rPr>
              <w:t>s</w:t>
            </w:r>
            <w:r w:rsidRPr="00C71C9A">
              <w:rPr>
                <w:rFonts w:asciiTheme="minorHAnsi" w:hAnsiTheme="minorHAnsi" w:cs="Calibri"/>
                <w:lang w:val="en-GB"/>
              </w:rPr>
              <w:t xml:space="preserve"> to be the interests of </w:t>
            </w:r>
            <w:r>
              <w:rPr>
                <w:rFonts w:asciiTheme="minorHAnsi" w:hAnsiTheme="minorHAnsi" w:cs="Calibri"/>
                <w:lang w:val="en-GB"/>
              </w:rPr>
              <w:t>its</w:t>
            </w:r>
            <w:r w:rsidRPr="00C71C9A">
              <w:rPr>
                <w:rFonts w:asciiTheme="minorHAnsi" w:hAnsiTheme="minorHAnsi" w:cs="Calibri"/>
                <w:lang w:val="en-GB"/>
              </w:rPr>
              <w:t xml:space="preserve"> clients. In applying the policy</w:t>
            </w:r>
            <w:r>
              <w:rPr>
                <w:rFonts w:asciiTheme="minorHAnsi" w:hAnsiTheme="minorHAnsi" w:cs="Calibri"/>
                <w:lang w:val="en-GB"/>
              </w:rPr>
              <w:t xml:space="preserve">, Schroders </w:t>
            </w:r>
            <w:r w:rsidRPr="00C71C9A">
              <w:rPr>
                <w:rFonts w:asciiTheme="minorHAnsi" w:hAnsiTheme="minorHAnsi" w:cs="Calibri"/>
                <w:lang w:val="en-GB"/>
              </w:rPr>
              <w:t>consider</w:t>
            </w:r>
            <w:r>
              <w:rPr>
                <w:rFonts w:asciiTheme="minorHAnsi" w:hAnsiTheme="minorHAnsi" w:cs="Calibri"/>
                <w:lang w:val="en-GB"/>
              </w:rPr>
              <w:t>s</w:t>
            </w:r>
            <w:r w:rsidRPr="00C71C9A">
              <w:rPr>
                <w:rFonts w:asciiTheme="minorHAnsi" w:hAnsiTheme="minorHAnsi" w:cs="Calibri"/>
                <w:lang w:val="en-GB"/>
              </w:rPr>
              <w:t xml:space="preserve"> a range of factors, including the circumstances of each company, performance, governance, strategy and personnel.</w:t>
            </w:r>
          </w:p>
          <w:p w14:paraId="28264C91" w14:textId="77777777" w:rsidR="00F34C85" w:rsidRPr="004E0AE2" w:rsidRDefault="00F34C85" w:rsidP="00F34C85">
            <w:pPr>
              <w:pStyle w:val="BLKCoverDate"/>
              <w:rPr>
                <w:rFonts w:asciiTheme="minorHAnsi" w:hAnsiTheme="minorHAnsi" w:cs="Calibri"/>
                <w:lang w:val="en-GB"/>
              </w:rPr>
            </w:pPr>
            <w:r w:rsidRPr="004E0AE2">
              <w:rPr>
                <w:rFonts w:asciiTheme="minorHAnsi" w:hAnsiTheme="minorHAnsi" w:cs="Calibri"/>
                <w:lang w:val="en-GB"/>
              </w:rPr>
              <w:t xml:space="preserve">It is </w:t>
            </w:r>
            <w:r>
              <w:rPr>
                <w:rFonts w:asciiTheme="minorHAnsi" w:hAnsiTheme="minorHAnsi" w:cs="Calibri"/>
                <w:lang w:val="en-GB"/>
              </w:rPr>
              <w:t xml:space="preserve">Schroders’ </w:t>
            </w:r>
            <w:r w:rsidRPr="004E0AE2">
              <w:rPr>
                <w:rFonts w:asciiTheme="minorHAnsi" w:hAnsiTheme="minorHAnsi" w:cs="Calibri"/>
                <w:lang w:val="en-GB"/>
              </w:rPr>
              <w:t>policy to vote all shares at all meetings globally, except where there are onerous restrictions – for example, shareblocking.</w:t>
            </w:r>
            <w:r w:rsidRPr="00A340DC">
              <w:rPr>
                <w:rFonts w:asciiTheme="minorHAnsi" w:hAnsiTheme="minorHAnsi" w:cs="Calibri"/>
                <w:lang w:val="en-GB"/>
              </w:rPr>
              <w:t xml:space="preserve"> </w:t>
            </w:r>
            <w:r w:rsidRPr="004E0AE2">
              <w:rPr>
                <w:rFonts w:asciiTheme="minorHAnsi" w:hAnsiTheme="minorHAnsi" w:cs="Calibri"/>
                <w:lang w:val="en-GB"/>
              </w:rPr>
              <w:t xml:space="preserve">Schroders utilises </w:t>
            </w:r>
            <w:r>
              <w:rPr>
                <w:rFonts w:asciiTheme="minorHAnsi" w:hAnsiTheme="minorHAnsi" w:cs="Calibri"/>
                <w:lang w:val="en-GB"/>
              </w:rPr>
              <w:t xml:space="preserve">the services of </w:t>
            </w:r>
            <w:r w:rsidRPr="004E0AE2">
              <w:rPr>
                <w:rFonts w:asciiTheme="minorHAnsi" w:hAnsiTheme="minorHAnsi" w:cs="Calibri"/>
                <w:lang w:val="en-GB"/>
              </w:rPr>
              <w:t xml:space="preserve">ISS and </w:t>
            </w:r>
            <w:r>
              <w:rPr>
                <w:rFonts w:asciiTheme="minorHAnsi" w:hAnsiTheme="minorHAnsi" w:cs="Calibri"/>
                <w:lang w:val="en-GB"/>
              </w:rPr>
              <w:t xml:space="preserve">the </w:t>
            </w:r>
            <w:r w:rsidRPr="004E0AE2">
              <w:rPr>
                <w:rFonts w:asciiTheme="minorHAnsi" w:hAnsiTheme="minorHAnsi" w:cs="Calibri"/>
                <w:lang w:val="en-GB"/>
              </w:rPr>
              <w:t>Investment Association’s Institutional Voting Information Services (</w:t>
            </w:r>
            <w:r>
              <w:rPr>
                <w:rFonts w:asciiTheme="minorHAnsi" w:hAnsiTheme="minorHAnsi" w:cs="Calibri"/>
                <w:lang w:val="en-GB"/>
              </w:rPr>
              <w:t>‘</w:t>
            </w:r>
            <w:r w:rsidRPr="004E0AE2">
              <w:rPr>
                <w:rFonts w:asciiTheme="minorHAnsi" w:hAnsiTheme="minorHAnsi" w:cs="Calibri"/>
                <w:lang w:val="en-GB"/>
              </w:rPr>
              <w:t>IVIS</w:t>
            </w:r>
            <w:r>
              <w:rPr>
                <w:rFonts w:asciiTheme="minorHAnsi" w:hAnsiTheme="minorHAnsi" w:cs="Calibri"/>
                <w:lang w:val="en-GB"/>
              </w:rPr>
              <w:t>’</w:t>
            </w:r>
            <w:r w:rsidRPr="004E0AE2">
              <w:rPr>
                <w:rFonts w:asciiTheme="minorHAnsi" w:hAnsiTheme="minorHAnsi" w:cs="Calibri"/>
                <w:lang w:val="en-GB"/>
              </w:rPr>
              <w:t xml:space="preserve">) in conjunction </w:t>
            </w:r>
            <w:r>
              <w:rPr>
                <w:rFonts w:asciiTheme="minorHAnsi" w:hAnsiTheme="minorHAnsi" w:cs="Calibri"/>
                <w:lang w:val="en-GB"/>
              </w:rPr>
              <w:t>with</w:t>
            </w:r>
            <w:r w:rsidRPr="004E0AE2">
              <w:rPr>
                <w:rFonts w:asciiTheme="minorHAnsi" w:hAnsiTheme="minorHAnsi" w:cs="Calibri"/>
                <w:lang w:val="en-GB"/>
              </w:rPr>
              <w:t xml:space="preserve"> its own research and policies when formulating voting decisions.</w:t>
            </w:r>
            <w:r>
              <w:rPr>
                <w:rFonts w:asciiTheme="minorHAnsi" w:hAnsiTheme="minorHAnsi" w:cs="Calibri"/>
                <w:lang w:val="en-GB"/>
              </w:rPr>
              <w:t xml:space="preserve"> With regards to abstaining from votes, Schroders’ </w:t>
            </w:r>
            <w:r w:rsidRPr="00CA5FEF">
              <w:rPr>
                <w:rFonts w:asciiTheme="minorHAnsi" w:hAnsiTheme="minorHAnsi" w:cs="Calibri"/>
                <w:lang w:val="en-GB"/>
              </w:rPr>
              <w:t xml:space="preserve">preference is to support or oppose management and only use an abstention sparingly. </w:t>
            </w:r>
            <w:r>
              <w:rPr>
                <w:rFonts w:asciiTheme="minorHAnsi" w:hAnsiTheme="minorHAnsi" w:cs="Calibri"/>
                <w:lang w:val="en-GB"/>
              </w:rPr>
              <w:t xml:space="preserve">Schroders </w:t>
            </w:r>
            <w:r w:rsidRPr="00CA5FEF">
              <w:rPr>
                <w:rFonts w:asciiTheme="minorHAnsi" w:hAnsiTheme="minorHAnsi" w:cs="Calibri"/>
                <w:lang w:val="en-GB"/>
              </w:rPr>
              <w:t>may abstain where mitigating circumstances apply, for example where a company has taken some steps to address shareholder issues.</w:t>
            </w:r>
          </w:p>
          <w:p w14:paraId="40483080" w14:textId="59D4C824" w:rsidR="00877E81" w:rsidRPr="00A340DC" w:rsidRDefault="00F34C85" w:rsidP="00F73720">
            <w:pPr>
              <w:pStyle w:val="BLKCoverDate"/>
              <w:rPr>
                <w:rFonts w:asciiTheme="minorHAnsi" w:hAnsiTheme="minorHAnsi" w:cs="Calibri"/>
                <w:lang w:val="en-GB"/>
              </w:rPr>
            </w:pPr>
            <w:r w:rsidRPr="004E0AE2">
              <w:rPr>
                <w:rFonts w:asciiTheme="minorHAnsi" w:hAnsiTheme="minorHAnsi" w:cs="Calibri"/>
                <w:lang w:val="en-GB"/>
              </w:rPr>
              <w:t>For certain holdings of less than 0.5% of share capital in the USA, Australia, New Zealand, Japan, and Hong Kong</w:t>
            </w:r>
            <w:r>
              <w:rPr>
                <w:rFonts w:asciiTheme="minorHAnsi" w:hAnsiTheme="minorHAnsi" w:cs="Calibri"/>
                <w:lang w:val="en-GB"/>
              </w:rPr>
              <w:t>,</w:t>
            </w:r>
            <w:r w:rsidRPr="004E0AE2">
              <w:rPr>
                <w:rFonts w:asciiTheme="minorHAnsi" w:hAnsiTheme="minorHAnsi" w:cs="Calibri"/>
                <w:lang w:val="en-GB"/>
              </w:rPr>
              <w:t xml:space="preserve"> </w:t>
            </w:r>
            <w:r>
              <w:rPr>
                <w:rFonts w:asciiTheme="minorHAnsi" w:hAnsiTheme="minorHAnsi" w:cs="Calibri"/>
                <w:lang w:val="en-GB"/>
              </w:rPr>
              <w:t>Schroders has</w:t>
            </w:r>
            <w:r w:rsidRPr="004E0AE2">
              <w:rPr>
                <w:rFonts w:asciiTheme="minorHAnsi" w:hAnsiTheme="minorHAnsi" w:cs="Calibri"/>
                <w:lang w:val="en-GB"/>
              </w:rPr>
              <w:t xml:space="preserve"> implemented a custom policy that reflects the views of </w:t>
            </w:r>
            <w:r>
              <w:rPr>
                <w:rFonts w:asciiTheme="minorHAnsi" w:hAnsiTheme="minorHAnsi" w:cs="Calibri"/>
                <w:lang w:val="en-GB"/>
              </w:rPr>
              <w:t xml:space="preserve">its </w:t>
            </w:r>
            <w:r w:rsidRPr="004E0AE2">
              <w:rPr>
                <w:rFonts w:asciiTheme="minorHAnsi" w:hAnsiTheme="minorHAnsi" w:cs="Calibri"/>
                <w:lang w:val="en-GB"/>
              </w:rPr>
              <w:t xml:space="preserve">ESG policy and is administered by </w:t>
            </w:r>
            <w:r>
              <w:rPr>
                <w:rFonts w:asciiTheme="minorHAnsi" w:hAnsiTheme="minorHAnsi" w:cs="Calibri"/>
                <w:lang w:val="en-GB"/>
              </w:rPr>
              <w:t xml:space="preserve">Schroders’ </w:t>
            </w:r>
            <w:r w:rsidRPr="004E0AE2">
              <w:rPr>
                <w:rFonts w:asciiTheme="minorHAnsi" w:hAnsiTheme="minorHAnsi" w:cs="Calibri"/>
                <w:lang w:val="en-GB"/>
              </w:rPr>
              <w:t>proxy voting provider</w:t>
            </w:r>
            <w:r>
              <w:rPr>
                <w:rFonts w:asciiTheme="minorHAnsi" w:hAnsiTheme="minorHAnsi" w:cs="Calibri"/>
                <w:lang w:val="en-GB"/>
              </w:rPr>
              <w:t>, ISS</w:t>
            </w:r>
            <w:r w:rsidRPr="004E0AE2">
              <w:rPr>
                <w:rFonts w:asciiTheme="minorHAnsi" w:hAnsiTheme="minorHAnsi" w:cs="Calibri"/>
                <w:lang w:val="en-GB"/>
              </w:rPr>
              <w:t xml:space="preserve">.  </w:t>
            </w:r>
            <w:r>
              <w:rPr>
                <w:rFonts w:asciiTheme="minorHAnsi" w:hAnsiTheme="minorHAnsi" w:cs="Calibri"/>
                <w:lang w:val="en-GB"/>
              </w:rPr>
              <w:t xml:space="preserve">Schroders votes </w:t>
            </w:r>
            <w:r w:rsidRPr="004E0AE2">
              <w:rPr>
                <w:rFonts w:asciiTheme="minorHAnsi" w:hAnsiTheme="minorHAnsi" w:cs="Calibri"/>
                <w:lang w:val="en-GB"/>
              </w:rPr>
              <w:t>on both shareholder and management resolutions.</w:t>
            </w:r>
          </w:p>
        </w:tc>
      </w:tr>
      <w:tr w:rsidR="005C2FE6" w:rsidRPr="004C2CEB" w14:paraId="537F7EC6"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hideMark/>
          </w:tcPr>
          <w:p w14:paraId="1A827322" w14:textId="77777777" w:rsidR="005C2FE6" w:rsidRPr="005542B3" w:rsidRDefault="005C2FE6" w:rsidP="008870F5">
            <w:pPr>
              <w:pStyle w:val="NormalWeb"/>
              <w:spacing w:before="0" w:beforeAutospacing="0" w:after="0" w:afterAutospacing="0"/>
              <w:jc w:val="center"/>
              <w:rPr>
                <w:rFonts w:asciiTheme="minorHAnsi" w:eastAsia="Calibri" w:hAnsiTheme="minorHAnsi" w:cs="Arial"/>
                <w:b/>
                <w:bCs/>
                <w:color w:val="000000" w:themeColor="text1"/>
                <w:kern w:val="24"/>
                <w:sz w:val="20"/>
                <w:szCs w:val="20"/>
              </w:rPr>
            </w:pPr>
            <w:r w:rsidRPr="005542B3">
              <w:rPr>
                <w:rFonts w:asciiTheme="minorHAnsi" w:eastAsia="Calibri" w:hAnsiTheme="minorHAnsi" w:cs="Arial"/>
                <w:b/>
                <w:bCs/>
                <w:color w:val="000000" w:themeColor="text1"/>
                <w:kern w:val="24"/>
                <w:sz w:val="20"/>
                <w:szCs w:val="20"/>
              </w:rPr>
              <w:t>Terna Energy</w:t>
            </w:r>
          </w:p>
          <w:p w14:paraId="3B7D2E0C" w14:textId="088D9585" w:rsidR="005C2FE6" w:rsidRPr="004C2CEB" w:rsidRDefault="005C2FE6" w:rsidP="008870F5">
            <w:pPr>
              <w:pStyle w:val="NormalWeb"/>
              <w:spacing w:before="0" w:beforeAutospacing="0" w:after="0" w:afterAutospacing="0"/>
              <w:jc w:val="center"/>
              <w:rPr>
                <w:rFonts w:asciiTheme="minorHAnsi" w:hAnsiTheme="minorHAnsi" w:cs="Arial"/>
                <w:sz w:val="20"/>
                <w:szCs w:val="20"/>
              </w:rPr>
            </w:pPr>
            <w:r w:rsidRPr="005542B3">
              <w:rPr>
                <w:rFonts w:asciiTheme="minorHAnsi" w:eastAsia="Calibri" w:hAnsiTheme="minorHAnsi" w:cs="Arial"/>
                <w:color w:val="000000" w:themeColor="text1"/>
                <w:kern w:val="24"/>
                <w:sz w:val="17"/>
                <w:szCs w:val="17"/>
              </w:rPr>
              <w:t>(Greek renewable energy company)</w:t>
            </w:r>
          </w:p>
        </w:tc>
        <w:tc>
          <w:tcPr>
            <w:tcW w:w="9006" w:type="dxa"/>
            <w:gridSpan w:val="2"/>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hideMark/>
          </w:tcPr>
          <w:p w14:paraId="7BCA7987" w14:textId="77777777" w:rsidR="005C2FE6" w:rsidRPr="005542B3" w:rsidRDefault="005C2FE6" w:rsidP="005C2FE6">
            <w:pPr>
              <w:pStyle w:val="BLKCoverDate"/>
              <w:rPr>
                <w:rFonts w:asciiTheme="minorHAnsi" w:hAnsiTheme="minorHAnsi" w:cs="Calibri"/>
                <w:lang w:val="en-GB"/>
              </w:rPr>
            </w:pPr>
            <w:r w:rsidRPr="005542B3">
              <w:rPr>
                <w:rFonts w:asciiTheme="minorHAnsi" w:hAnsiTheme="minorHAnsi" w:cs="Calibri"/>
                <w:lang w:val="en-GB"/>
              </w:rPr>
              <w:t>Terna Energy is a Greek renewable energy company that plays a leading role in clean energy production while carrying out innovative projects for the environment, which contribute to sustainable development.</w:t>
            </w:r>
          </w:p>
          <w:p w14:paraId="21A51B6B" w14:textId="77777777" w:rsidR="005C2FE6" w:rsidRPr="005542B3" w:rsidRDefault="005C2FE6" w:rsidP="005C2FE6">
            <w:pPr>
              <w:pStyle w:val="BLKCoverDate"/>
              <w:rPr>
                <w:rFonts w:asciiTheme="minorHAnsi" w:hAnsiTheme="minorHAnsi"/>
              </w:rPr>
            </w:pPr>
            <w:r w:rsidRPr="005542B3">
              <w:rPr>
                <w:rFonts w:asciiTheme="minorHAnsi" w:hAnsiTheme="minorHAnsi" w:cs="Calibri"/>
                <w:lang w:val="en-GB"/>
              </w:rPr>
              <w:t>Throughout 2023, the Schroders</w:t>
            </w:r>
            <w:r w:rsidRPr="005542B3">
              <w:rPr>
                <w:rFonts w:asciiTheme="minorHAnsi" w:hAnsiTheme="minorHAnsi"/>
              </w:rPr>
              <w:t xml:space="preserve"> investment team engaged with Terna Energy on the follow issues: </w:t>
            </w:r>
          </w:p>
          <w:p w14:paraId="56199696" w14:textId="77777777" w:rsidR="005C2FE6" w:rsidRPr="005542B3" w:rsidRDefault="005C2FE6" w:rsidP="005C2FE6">
            <w:pPr>
              <w:pStyle w:val="BLKCoverDate"/>
              <w:rPr>
                <w:rFonts w:asciiTheme="minorHAnsi" w:hAnsiTheme="minorHAnsi"/>
              </w:rPr>
            </w:pPr>
            <w:r w:rsidRPr="005542B3">
              <w:rPr>
                <w:rFonts w:asciiTheme="minorHAnsi" w:hAnsiTheme="minorHAnsi"/>
              </w:rPr>
              <w:t xml:space="preserve">• Supply chain management – how much ESG focus is given to their suppliers? </w:t>
            </w:r>
          </w:p>
          <w:p w14:paraId="2EB2D39B" w14:textId="77777777" w:rsidR="005C2FE6" w:rsidRPr="005542B3" w:rsidRDefault="005C2FE6" w:rsidP="005C2FE6">
            <w:pPr>
              <w:pStyle w:val="BLKCoverDate"/>
              <w:rPr>
                <w:rFonts w:asciiTheme="minorHAnsi" w:hAnsiTheme="minorHAnsi"/>
              </w:rPr>
            </w:pPr>
            <w:r w:rsidRPr="005542B3">
              <w:rPr>
                <w:rFonts w:asciiTheme="minorHAnsi" w:hAnsiTheme="minorHAnsi"/>
              </w:rPr>
              <w:t xml:space="preserve">• Biodiversity management – how does Terna ensure that environmental risks and depletion are managed across operations? </w:t>
            </w:r>
          </w:p>
          <w:p w14:paraId="1D6CB65B" w14:textId="77777777" w:rsidR="005C2FE6" w:rsidRPr="005542B3" w:rsidRDefault="005C2FE6" w:rsidP="005C2FE6">
            <w:pPr>
              <w:pStyle w:val="BLKCoverDate"/>
              <w:rPr>
                <w:rFonts w:asciiTheme="minorHAnsi" w:hAnsiTheme="minorHAnsi"/>
              </w:rPr>
            </w:pPr>
            <w:r w:rsidRPr="005542B3">
              <w:rPr>
                <w:rFonts w:asciiTheme="minorHAnsi" w:hAnsiTheme="minorHAnsi"/>
              </w:rPr>
              <w:t xml:space="preserve">In terms of the supply chain management, Terna adopted a procurement policy in 2022 and suppliers/partners are selected in line with these policy provisions. Terna have been applying the Code of Ethics, GDPR, human rights and purchasing policies to suppliers and as such, suppliers must provide policy statements regarding forced labour and evidence of control and monitoring facilities. Terna has the right to conduct inspections on suppliers and can terminate contracts should a supplier fail to abide by their principles and values. </w:t>
            </w:r>
          </w:p>
          <w:p w14:paraId="10C08672" w14:textId="4BE61335" w:rsidR="005C2FE6" w:rsidRPr="008870F5" w:rsidRDefault="005C2FE6" w:rsidP="005C2FE6">
            <w:pPr>
              <w:pStyle w:val="NormalWeb"/>
              <w:spacing w:before="0" w:beforeAutospacing="0" w:after="60" w:afterAutospacing="0"/>
              <w:jc w:val="both"/>
              <w:rPr>
                <w:rFonts w:asciiTheme="minorHAnsi" w:hAnsiTheme="minorHAnsi"/>
                <w:sz w:val="20"/>
                <w:szCs w:val="20"/>
              </w:rPr>
            </w:pPr>
            <w:r w:rsidRPr="00E4266C">
              <w:rPr>
                <w:rFonts w:asciiTheme="minorHAnsi" w:hAnsiTheme="minorHAnsi"/>
                <w:sz w:val="20"/>
                <w:szCs w:val="20"/>
              </w:rPr>
              <w:t>On biodiversity management, Terna is in full compliance with legislation and environmental requirements, whilst climate risks are formulated into the company's strategy. The following impact management initiatives are applied: investigation of project areas and whether they are governed by specific regulatory restrictions (including protected areas); preparation of environmental impact studies and implementation of an environmental management system; and installations of bird protection systems, approved by the environmental terms. For every project that is completed within forest areas, reforestation is performed equal to the project size.</w:t>
            </w:r>
          </w:p>
          <w:p w14:paraId="2255E002" w14:textId="346A90EA" w:rsidR="005C2FE6" w:rsidRPr="004C2CEB" w:rsidRDefault="005C2FE6" w:rsidP="005C2FE6">
            <w:pPr>
              <w:pStyle w:val="NormalWeb"/>
              <w:spacing w:before="0" w:beforeAutospacing="0" w:after="60" w:afterAutospacing="0"/>
              <w:jc w:val="both"/>
              <w:rPr>
                <w:rFonts w:asciiTheme="minorHAnsi" w:eastAsia="Calibri" w:hAnsiTheme="minorHAnsi" w:cs="Arial"/>
                <w:color w:val="000000" w:themeColor="text1"/>
                <w:kern w:val="24"/>
                <w:sz w:val="20"/>
                <w:szCs w:val="20"/>
              </w:rPr>
            </w:pPr>
          </w:p>
        </w:tc>
      </w:tr>
      <w:tr w:rsidR="002B301F" w:rsidRPr="004C2CEB" w14:paraId="7F9D53CD" w14:textId="77777777" w:rsidTr="00F73720">
        <w:trPr>
          <w:gridAfter w:val="1"/>
          <w:wAfter w:w="218" w:type="dxa"/>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1E99E768" w14:textId="77777777" w:rsidR="002B301F" w:rsidRPr="004C2CEB" w:rsidRDefault="002B301F" w:rsidP="002B301F">
            <w:pPr>
              <w:pStyle w:val="NormalWeb"/>
              <w:spacing w:before="0" w:beforeAutospacing="0" w:after="0" w:afterAutospacing="0"/>
              <w:rPr>
                <w:rFonts w:asciiTheme="minorHAnsi" w:eastAsia="Calibri" w:hAnsiTheme="minorHAnsi" w:cs="Arial"/>
                <w:b/>
                <w:bCs/>
                <w:color w:val="000000" w:themeColor="text1"/>
                <w:kern w:val="24"/>
                <w:sz w:val="20"/>
                <w:szCs w:val="20"/>
              </w:rPr>
            </w:pPr>
            <w:r w:rsidRPr="00247E50">
              <w:rPr>
                <w:rFonts w:asciiTheme="minorHAnsi" w:eastAsia="Calibri" w:hAnsiTheme="minorHAnsi" w:cs="Arial"/>
                <w:b/>
                <w:bCs/>
                <w:color w:val="000000" w:themeColor="text1"/>
                <w:kern w:val="24"/>
                <w:sz w:val="20"/>
                <w:szCs w:val="20"/>
              </w:rPr>
              <w:t>Schroders EM Equities</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tbl>
            <w:tblPr>
              <w:tblW w:w="7959" w:type="dxa"/>
              <w:tblLayout w:type="fixed"/>
              <w:tblLook w:val="04A0" w:firstRow="1" w:lastRow="0" w:firstColumn="1" w:lastColumn="0" w:noHBand="0" w:noVBand="1"/>
            </w:tblPr>
            <w:tblGrid>
              <w:gridCol w:w="5000"/>
              <w:gridCol w:w="2959"/>
            </w:tblGrid>
            <w:tr w:rsidR="002B301F" w:rsidRPr="00734D9B" w14:paraId="31A516D3" w14:textId="77777777" w:rsidTr="00F73720">
              <w:trPr>
                <w:trHeight w:val="255"/>
              </w:trPr>
              <w:tc>
                <w:tcPr>
                  <w:tcW w:w="5000" w:type="dxa"/>
                  <w:tcBorders>
                    <w:top w:val="nil"/>
                    <w:left w:val="nil"/>
                    <w:bottom w:val="single" w:sz="4" w:space="0" w:color="A6A6A6" w:themeColor="background1" w:themeShade="A6"/>
                    <w:right w:val="nil"/>
                  </w:tcBorders>
                  <w:shd w:val="clear" w:color="auto" w:fill="auto"/>
                  <w:noWrap/>
                  <w:vAlign w:val="bottom"/>
                </w:tcPr>
                <w:p w14:paraId="114F39A8" w14:textId="77777777" w:rsidR="002B301F" w:rsidRPr="00734D9B" w:rsidRDefault="002B301F" w:rsidP="002B301F">
                  <w:pPr>
                    <w:rPr>
                      <w:rFonts w:eastAsia="Times New Roman" w:cs="Arial"/>
                      <w:color w:val="000000"/>
                      <w:sz w:val="20"/>
                      <w:szCs w:val="20"/>
                      <w:lang w:val="en-GB" w:eastAsia="en-GB"/>
                    </w:rPr>
                  </w:pPr>
                </w:p>
              </w:tc>
              <w:tc>
                <w:tcPr>
                  <w:tcW w:w="2959" w:type="dxa"/>
                  <w:tcBorders>
                    <w:top w:val="nil"/>
                    <w:left w:val="nil"/>
                    <w:bottom w:val="single" w:sz="4" w:space="0" w:color="A6A6A6" w:themeColor="background1" w:themeShade="A6"/>
                    <w:right w:val="nil"/>
                  </w:tcBorders>
                  <w:shd w:val="clear" w:color="auto" w:fill="auto"/>
                  <w:noWrap/>
                  <w:vAlign w:val="bottom"/>
                </w:tcPr>
                <w:p w14:paraId="27639057" w14:textId="09889F7F" w:rsidR="002B301F" w:rsidRPr="00734D9B" w:rsidRDefault="002B301F" w:rsidP="002B301F">
                  <w:pPr>
                    <w:jc w:val="center"/>
                    <w:rPr>
                      <w:rFonts w:eastAsia="Times New Roman" w:cs="Arial"/>
                      <w:b/>
                      <w:bCs/>
                      <w:color w:val="000000"/>
                      <w:sz w:val="20"/>
                      <w:szCs w:val="20"/>
                      <w:lang w:val="en-GB" w:eastAsia="en-GB"/>
                    </w:rPr>
                  </w:pPr>
                  <w:r w:rsidRPr="00734D9B">
                    <w:rPr>
                      <w:rFonts w:eastAsia="Times New Roman" w:cs="Arial"/>
                      <w:b/>
                      <w:bCs/>
                      <w:color w:val="000000"/>
                      <w:sz w:val="20"/>
                      <w:szCs w:val="20"/>
                      <w:lang w:val="en-GB" w:eastAsia="en-GB"/>
                    </w:rPr>
                    <w:t xml:space="preserve">Year to </w:t>
                  </w:r>
                  <w:r>
                    <w:rPr>
                      <w:rFonts w:eastAsia="Times New Roman" w:cs="Arial"/>
                      <w:b/>
                      <w:bCs/>
                      <w:color w:val="000000"/>
                      <w:sz w:val="20"/>
                      <w:szCs w:val="20"/>
                      <w:lang w:val="en-GB" w:eastAsia="en-GB"/>
                    </w:rPr>
                    <w:t>31 March 202</w:t>
                  </w:r>
                  <w:r w:rsidR="005C2FE6">
                    <w:rPr>
                      <w:rFonts w:eastAsia="Times New Roman" w:cs="Arial"/>
                      <w:b/>
                      <w:bCs/>
                      <w:color w:val="000000"/>
                      <w:sz w:val="20"/>
                      <w:szCs w:val="20"/>
                      <w:lang w:val="en-GB" w:eastAsia="en-GB"/>
                    </w:rPr>
                    <w:t>4</w:t>
                  </w:r>
                </w:p>
              </w:tc>
            </w:tr>
            <w:tr w:rsidR="005C2FE6" w:rsidRPr="00734D9B" w14:paraId="31AE9F5F" w14:textId="77777777" w:rsidTr="008615BF">
              <w:trPr>
                <w:trHeight w:val="255"/>
              </w:trPr>
              <w:tc>
                <w:tcPr>
                  <w:tcW w:w="5000" w:type="dxa"/>
                  <w:tcBorders>
                    <w:top w:val="single" w:sz="4" w:space="0" w:color="A6A6A6" w:themeColor="background1" w:themeShade="A6"/>
                    <w:left w:val="nil"/>
                    <w:right w:val="nil"/>
                  </w:tcBorders>
                  <w:shd w:val="clear" w:color="auto" w:fill="auto"/>
                  <w:noWrap/>
                  <w:vAlign w:val="bottom"/>
                </w:tcPr>
                <w:p w14:paraId="25695F7E" w14:textId="77777777" w:rsidR="005C2FE6" w:rsidRPr="00734D9B" w:rsidRDefault="005C2FE6" w:rsidP="005C2FE6">
                  <w:pPr>
                    <w:rPr>
                      <w:rFonts w:eastAsia="Times New Roman" w:cs="Arial"/>
                      <w:color w:val="000000"/>
                      <w:sz w:val="20"/>
                      <w:szCs w:val="20"/>
                      <w:lang w:val="en-GB" w:eastAsia="en-GB"/>
                    </w:rPr>
                  </w:pPr>
                  <w:r>
                    <w:rPr>
                      <w:rFonts w:eastAsia="Times New Roman" w:cs="Arial"/>
                      <w:color w:val="000000"/>
                      <w:sz w:val="20"/>
                      <w:szCs w:val="20"/>
                      <w:lang w:val="en-GB" w:eastAsia="en-GB"/>
                    </w:rPr>
                    <w:t>Votable proposals</w:t>
                  </w:r>
                </w:p>
              </w:tc>
              <w:tc>
                <w:tcPr>
                  <w:tcW w:w="2959" w:type="dxa"/>
                  <w:tcBorders>
                    <w:top w:val="single" w:sz="4" w:space="0" w:color="A6A6A6" w:themeColor="background1" w:themeShade="A6"/>
                    <w:left w:val="nil"/>
                    <w:right w:val="nil"/>
                  </w:tcBorders>
                  <w:shd w:val="clear" w:color="auto" w:fill="auto"/>
                  <w:noWrap/>
                </w:tcPr>
                <w:p w14:paraId="56811926" w14:textId="2884E2A5" w:rsidR="005C2FE6" w:rsidRPr="009B1010" w:rsidRDefault="005C2FE6" w:rsidP="005C2FE6">
                  <w:pPr>
                    <w:jc w:val="center"/>
                    <w:rPr>
                      <w:rFonts w:eastAsia="Times New Roman" w:cs="Arial"/>
                      <w:color w:val="FF0000"/>
                      <w:sz w:val="20"/>
                      <w:szCs w:val="20"/>
                      <w:lang w:val="en-GB" w:eastAsia="en-GB"/>
                    </w:rPr>
                  </w:pPr>
                  <w:r w:rsidRPr="00D740BD">
                    <w:t>2</w:t>
                  </w:r>
                  <w:r>
                    <w:t>,</w:t>
                  </w:r>
                  <w:r w:rsidRPr="00D740BD">
                    <w:t>0</w:t>
                  </w:r>
                  <w:r>
                    <w:t>85</w:t>
                  </w:r>
                </w:p>
              </w:tc>
            </w:tr>
            <w:tr w:rsidR="005C2FE6" w:rsidRPr="00734D9B" w14:paraId="2804F361" w14:textId="77777777" w:rsidTr="008615BF">
              <w:trPr>
                <w:trHeight w:val="255"/>
              </w:trPr>
              <w:tc>
                <w:tcPr>
                  <w:tcW w:w="5000" w:type="dxa"/>
                  <w:tcBorders>
                    <w:left w:val="nil"/>
                    <w:bottom w:val="nil"/>
                    <w:right w:val="nil"/>
                  </w:tcBorders>
                  <w:shd w:val="clear" w:color="auto" w:fill="auto"/>
                  <w:noWrap/>
                  <w:vAlign w:val="bottom"/>
                  <w:hideMark/>
                </w:tcPr>
                <w:p w14:paraId="1324CDD1" w14:textId="77777777" w:rsidR="005C2FE6" w:rsidRPr="00734D9B" w:rsidRDefault="005C2FE6" w:rsidP="005C2FE6">
                  <w:pPr>
                    <w:rPr>
                      <w:rFonts w:eastAsia="Times New Roman" w:cs="Arial"/>
                      <w:color w:val="000000"/>
                      <w:sz w:val="20"/>
                      <w:szCs w:val="20"/>
                      <w:lang w:val="en-GB" w:eastAsia="en-GB"/>
                    </w:rPr>
                  </w:pPr>
                  <w:r w:rsidRPr="00734D9B">
                    <w:rPr>
                      <w:rFonts w:eastAsia="Times New Roman" w:cs="Arial"/>
                      <w:color w:val="000000"/>
                      <w:sz w:val="20"/>
                      <w:szCs w:val="20"/>
                      <w:lang w:val="en-GB" w:eastAsia="en-GB"/>
                    </w:rPr>
                    <w:t>% of resolutions voted</w:t>
                  </w:r>
                </w:p>
              </w:tc>
              <w:tc>
                <w:tcPr>
                  <w:tcW w:w="2959" w:type="dxa"/>
                  <w:tcBorders>
                    <w:left w:val="nil"/>
                    <w:bottom w:val="nil"/>
                    <w:right w:val="nil"/>
                  </w:tcBorders>
                  <w:shd w:val="clear" w:color="auto" w:fill="auto"/>
                  <w:noWrap/>
                </w:tcPr>
                <w:p w14:paraId="05F8774A" w14:textId="5C6E66F2" w:rsidR="005C2FE6" w:rsidRPr="009B1010" w:rsidRDefault="005C2FE6" w:rsidP="005C2FE6">
                  <w:pPr>
                    <w:jc w:val="center"/>
                    <w:rPr>
                      <w:rFonts w:eastAsia="Times New Roman" w:cs="Arial"/>
                      <w:color w:val="FF0000"/>
                      <w:sz w:val="20"/>
                      <w:szCs w:val="20"/>
                      <w:lang w:val="en-GB" w:eastAsia="en-GB"/>
                    </w:rPr>
                  </w:pPr>
                  <w:r w:rsidRPr="00D740BD">
                    <w:t>95%</w:t>
                  </w:r>
                </w:p>
              </w:tc>
            </w:tr>
            <w:tr w:rsidR="005C2FE6" w:rsidRPr="00734D9B" w14:paraId="2DBF05BC" w14:textId="77777777" w:rsidTr="008615BF">
              <w:trPr>
                <w:trHeight w:val="255"/>
              </w:trPr>
              <w:tc>
                <w:tcPr>
                  <w:tcW w:w="5000" w:type="dxa"/>
                  <w:tcBorders>
                    <w:top w:val="nil"/>
                    <w:left w:val="nil"/>
                    <w:bottom w:val="nil"/>
                    <w:right w:val="nil"/>
                  </w:tcBorders>
                  <w:shd w:val="clear" w:color="auto" w:fill="auto"/>
                  <w:noWrap/>
                  <w:vAlign w:val="bottom"/>
                  <w:hideMark/>
                </w:tcPr>
                <w:p w14:paraId="60F98B21" w14:textId="77777777" w:rsidR="005C2FE6" w:rsidRPr="00734D9B" w:rsidRDefault="005C2FE6" w:rsidP="005C2FE6">
                  <w:pPr>
                    <w:rPr>
                      <w:rFonts w:eastAsia="Times New Roman" w:cs="Arial"/>
                      <w:color w:val="000000"/>
                      <w:sz w:val="20"/>
                      <w:szCs w:val="20"/>
                      <w:lang w:val="en-GB" w:eastAsia="en-GB"/>
                    </w:rPr>
                  </w:pPr>
                  <w:r w:rsidRPr="00734D9B">
                    <w:rPr>
                      <w:rFonts w:eastAsia="Times New Roman" w:cs="Arial"/>
                      <w:color w:val="000000"/>
                      <w:sz w:val="20"/>
                      <w:szCs w:val="20"/>
                      <w:lang w:val="en-GB" w:eastAsia="en-GB"/>
                    </w:rPr>
                    <w:t>% of resolutions voted against management</w:t>
                  </w:r>
                </w:p>
              </w:tc>
              <w:tc>
                <w:tcPr>
                  <w:tcW w:w="2959" w:type="dxa"/>
                  <w:tcBorders>
                    <w:top w:val="nil"/>
                    <w:left w:val="nil"/>
                    <w:bottom w:val="nil"/>
                    <w:right w:val="nil"/>
                  </w:tcBorders>
                  <w:shd w:val="clear" w:color="auto" w:fill="auto"/>
                  <w:noWrap/>
                </w:tcPr>
                <w:p w14:paraId="605B6859" w14:textId="74C9D718" w:rsidR="005C2FE6" w:rsidRPr="009B1010" w:rsidRDefault="005C2FE6" w:rsidP="005C2FE6">
                  <w:pPr>
                    <w:jc w:val="center"/>
                    <w:rPr>
                      <w:rFonts w:eastAsia="Times New Roman" w:cs="Arial"/>
                      <w:color w:val="FF0000"/>
                      <w:sz w:val="20"/>
                      <w:szCs w:val="20"/>
                      <w:lang w:val="en-GB" w:eastAsia="en-GB"/>
                    </w:rPr>
                  </w:pPr>
                  <w:r w:rsidRPr="00D740BD">
                    <w:t>8%</w:t>
                  </w:r>
                </w:p>
              </w:tc>
            </w:tr>
            <w:tr w:rsidR="005C2FE6" w:rsidRPr="00734D9B" w14:paraId="5E032929" w14:textId="77777777" w:rsidTr="008615BF">
              <w:trPr>
                <w:trHeight w:val="255"/>
              </w:trPr>
              <w:tc>
                <w:tcPr>
                  <w:tcW w:w="5000" w:type="dxa"/>
                  <w:tcBorders>
                    <w:top w:val="nil"/>
                    <w:left w:val="nil"/>
                    <w:bottom w:val="nil"/>
                    <w:right w:val="nil"/>
                  </w:tcBorders>
                  <w:shd w:val="clear" w:color="auto" w:fill="auto"/>
                  <w:noWrap/>
                  <w:vAlign w:val="bottom"/>
                  <w:hideMark/>
                </w:tcPr>
                <w:p w14:paraId="144BCA40" w14:textId="77777777" w:rsidR="005C2FE6" w:rsidRPr="00734D9B" w:rsidRDefault="005C2FE6" w:rsidP="005C2FE6">
                  <w:pPr>
                    <w:rPr>
                      <w:rFonts w:eastAsia="Times New Roman" w:cs="Arial"/>
                      <w:color w:val="000000"/>
                      <w:sz w:val="20"/>
                      <w:szCs w:val="20"/>
                      <w:lang w:val="en-GB" w:eastAsia="en-GB"/>
                    </w:rPr>
                  </w:pPr>
                  <w:r w:rsidRPr="00734D9B">
                    <w:rPr>
                      <w:rFonts w:eastAsia="Times New Roman" w:cs="Arial"/>
                      <w:color w:val="000000"/>
                      <w:sz w:val="20"/>
                      <w:szCs w:val="20"/>
                      <w:lang w:val="en-GB" w:eastAsia="en-GB"/>
                    </w:rPr>
                    <w:t xml:space="preserve">% of resolutions abstained </w:t>
                  </w:r>
                </w:p>
              </w:tc>
              <w:tc>
                <w:tcPr>
                  <w:tcW w:w="2959" w:type="dxa"/>
                  <w:tcBorders>
                    <w:top w:val="nil"/>
                    <w:left w:val="nil"/>
                    <w:bottom w:val="nil"/>
                    <w:right w:val="nil"/>
                  </w:tcBorders>
                  <w:shd w:val="clear" w:color="auto" w:fill="auto"/>
                  <w:noWrap/>
                </w:tcPr>
                <w:p w14:paraId="3A9AC1A2" w14:textId="01BDA75F" w:rsidR="005C2FE6" w:rsidRPr="009B1010" w:rsidRDefault="005C2FE6" w:rsidP="005C2FE6">
                  <w:pPr>
                    <w:jc w:val="center"/>
                    <w:rPr>
                      <w:rFonts w:eastAsia="Times New Roman" w:cs="Arial"/>
                      <w:color w:val="FF0000"/>
                      <w:sz w:val="20"/>
                      <w:szCs w:val="20"/>
                      <w:lang w:val="en-GB" w:eastAsia="en-GB"/>
                    </w:rPr>
                  </w:pPr>
                  <w:r w:rsidRPr="00D740BD">
                    <w:t>5%</w:t>
                  </w:r>
                </w:p>
              </w:tc>
            </w:tr>
          </w:tbl>
          <w:p w14:paraId="3A4EE469" w14:textId="77777777" w:rsidR="002B301F" w:rsidRDefault="002B301F" w:rsidP="002B301F">
            <w:pPr>
              <w:pStyle w:val="NormalWeb"/>
              <w:spacing w:after="120" w:afterAutospacing="0"/>
              <w:rPr>
                <w:rFonts w:asciiTheme="minorHAnsi" w:eastAsia="Calibri" w:hAnsiTheme="minorHAnsi" w:cs="Arial"/>
                <w:color w:val="000000" w:themeColor="text1"/>
                <w:kern w:val="24"/>
                <w:sz w:val="20"/>
                <w:szCs w:val="20"/>
              </w:rPr>
            </w:pPr>
          </w:p>
        </w:tc>
      </w:tr>
    </w:tbl>
    <w:p w14:paraId="51A4E080" w14:textId="77777777" w:rsidR="00877E81" w:rsidRPr="004C2CEB" w:rsidRDefault="00877E81" w:rsidP="00877E81">
      <w:pPr>
        <w:pStyle w:val="BLKCoverDate"/>
        <w:rPr>
          <w:rFonts w:asciiTheme="minorHAnsi" w:hAnsiTheme="minorHAnsi" w:cs="Calibri"/>
          <w:lang w:val="en-GB"/>
        </w:rPr>
      </w:pPr>
    </w:p>
    <w:p w14:paraId="3D45603F" w14:textId="77777777" w:rsidR="00877E81" w:rsidRPr="004C2CEB" w:rsidRDefault="00877E81" w:rsidP="00877E81">
      <w:pPr>
        <w:spacing w:after="120"/>
        <w:rPr>
          <w:b/>
          <w:bCs/>
          <w:sz w:val="20"/>
          <w:szCs w:val="20"/>
          <w:lang w:val="en-GB"/>
        </w:rPr>
      </w:pPr>
      <w:r w:rsidRPr="004C2CEB">
        <w:rPr>
          <w:b/>
          <w:bCs/>
          <w:sz w:val="20"/>
          <w:szCs w:val="20"/>
          <w:lang w:val="en-GB"/>
        </w:rPr>
        <w:t>Wellington:</w:t>
      </w:r>
    </w:p>
    <w:tbl>
      <w:tblPr>
        <w:tblW w:w="10348" w:type="dxa"/>
        <w:tblLayout w:type="fixed"/>
        <w:tblCellMar>
          <w:left w:w="0" w:type="dxa"/>
          <w:right w:w="0" w:type="dxa"/>
        </w:tblCellMar>
        <w:tblLook w:val="04A0" w:firstRow="1" w:lastRow="0" w:firstColumn="1" w:lastColumn="0" w:noHBand="0" w:noVBand="1"/>
      </w:tblPr>
      <w:tblGrid>
        <w:gridCol w:w="1560"/>
        <w:gridCol w:w="8788"/>
      </w:tblGrid>
      <w:tr w:rsidR="00F34C85" w:rsidRPr="004C2CEB" w14:paraId="718F6766"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298A313F" w14:textId="77777777" w:rsidR="00F34C85" w:rsidRPr="00690971" w:rsidRDefault="00F34C85" w:rsidP="00F34C85">
            <w:pPr>
              <w:pStyle w:val="NormalWeb"/>
              <w:spacing w:before="0" w:beforeAutospacing="0" w:after="0" w:afterAutospacing="0"/>
              <w:jc w:val="center"/>
              <w:rPr>
                <w:rFonts w:asciiTheme="minorHAnsi" w:eastAsia="Calibri" w:hAnsiTheme="minorHAnsi" w:cs="Arial"/>
                <w:b/>
                <w:bCs/>
                <w:color w:val="000000" w:themeColor="text1"/>
                <w:kern w:val="24"/>
                <w:sz w:val="20"/>
                <w:szCs w:val="20"/>
              </w:rPr>
            </w:pPr>
            <w:r>
              <w:rPr>
                <w:rFonts w:asciiTheme="minorHAnsi" w:eastAsia="Calibri" w:hAnsiTheme="minorHAnsi" w:cs="Arial"/>
                <w:b/>
                <w:bCs/>
                <w:color w:val="000000" w:themeColor="text1"/>
                <w:kern w:val="24"/>
                <w:sz w:val="20"/>
                <w:szCs w:val="20"/>
              </w:rPr>
              <w:t xml:space="preserve">Approach </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359007FE" w14:textId="4E397C5B" w:rsidR="00F34C85" w:rsidRPr="00CF3513" w:rsidRDefault="00F34C85" w:rsidP="00F34C85">
            <w:pPr>
              <w:spacing w:after="120"/>
              <w:jc w:val="both"/>
              <w:rPr>
                <w:rFonts w:cs="Calibri"/>
                <w:iCs/>
                <w:sz w:val="20"/>
                <w:szCs w:val="20"/>
              </w:rPr>
            </w:pPr>
            <w:r w:rsidRPr="00A340DC">
              <w:rPr>
                <w:rFonts w:cs="Calibri"/>
                <w:iCs/>
                <w:sz w:val="20"/>
                <w:szCs w:val="20"/>
              </w:rPr>
              <w:t>We</w:t>
            </w:r>
            <w:r>
              <w:rPr>
                <w:rFonts w:cs="Calibri"/>
                <w:iCs/>
                <w:sz w:val="20"/>
                <w:szCs w:val="20"/>
              </w:rPr>
              <w:t>llington</w:t>
            </w:r>
            <w:r w:rsidRPr="00A340DC">
              <w:rPr>
                <w:rFonts w:cs="Calibri"/>
                <w:iCs/>
                <w:sz w:val="20"/>
                <w:szCs w:val="20"/>
              </w:rPr>
              <w:t xml:space="preserve"> vote</w:t>
            </w:r>
            <w:r>
              <w:rPr>
                <w:rFonts w:cs="Calibri"/>
                <w:iCs/>
                <w:sz w:val="20"/>
                <w:szCs w:val="20"/>
              </w:rPr>
              <w:t>s</w:t>
            </w:r>
            <w:r w:rsidRPr="00A340DC">
              <w:rPr>
                <w:rFonts w:cs="Calibri"/>
                <w:iCs/>
                <w:sz w:val="20"/>
                <w:szCs w:val="20"/>
              </w:rPr>
              <w:t xml:space="preserve"> according to </w:t>
            </w:r>
            <w:r>
              <w:rPr>
                <w:rFonts w:cs="Calibri"/>
                <w:iCs/>
                <w:sz w:val="20"/>
                <w:szCs w:val="20"/>
              </w:rPr>
              <w:t xml:space="preserve">its </w:t>
            </w:r>
            <w:r w:rsidRPr="00A340DC">
              <w:rPr>
                <w:rFonts w:cs="Calibri"/>
                <w:iCs/>
                <w:sz w:val="20"/>
                <w:szCs w:val="20"/>
              </w:rPr>
              <w:t>Global Proxy Voting Guidelines and employ</w:t>
            </w:r>
            <w:r>
              <w:rPr>
                <w:rFonts w:cs="Calibri"/>
                <w:iCs/>
                <w:sz w:val="20"/>
                <w:szCs w:val="20"/>
              </w:rPr>
              <w:t>s</w:t>
            </w:r>
            <w:r w:rsidRPr="00A340DC">
              <w:rPr>
                <w:rFonts w:cs="Calibri"/>
                <w:iCs/>
                <w:sz w:val="20"/>
                <w:szCs w:val="20"/>
              </w:rPr>
              <w:t xml:space="preserve"> a third-party vendor</w:t>
            </w:r>
            <w:r>
              <w:rPr>
                <w:rFonts w:cs="Calibri"/>
                <w:iCs/>
                <w:sz w:val="20"/>
                <w:szCs w:val="20"/>
              </w:rPr>
              <w:t>, Glass Lewis,</w:t>
            </w:r>
            <w:r w:rsidRPr="00A340DC">
              <w:rPr>
                <w:rFonts w:cs="Calibri"/>
                <w:iCs/>
                <w:sz w:val="20"/>
                <w:szCs w:val="20"/>
              </w:rPr>
              <w:t xml:space="preserve"> to perform administrative tasks related to proxy voting. </w:t>
            </w:r>
            <w:r>
              <w:rPr>
                <w:rFonts w:cs="Calibri"/>
                <w:iCs/>
                <w:sz w:val="20"/>
                <w:szCs w:val="20"/>
              </w:rPr>
              <w:t xml:space="preserve">Wellington </w:t>
            </w:r>
            <w:r w:rsidRPr="00A340DC">
              <w:rPr>
                <w:rFonts w:cs="Calibri"/>
                <w:iCs/>
                <w:sz w:val="20"/>
                <w:szCs w:val="20"/>
              </w:rPr>
              <w:t>do</w:t>
            </w:r>
            <w:r>
              <w:rPr>
                <w:rFonts w:cs="Calibri"/>
                <w:iCs/>
                <w:sz w:val="20"/>
                <w:szCs w:val="20"/>
              </w:rPr>
              <w:t>es</w:t>
            </w:r>
            <w:r w:rsidRPr="00A340DC">
              <w:rPr>
                <w:rFonts w:cs="Calibri"/>
                <w:iCs/>
                <w:sz w:val="20"/>
                <w:szCs w:val="20"/>
              </w:rPr>
              <w:t xml:space="preserve"> not automatically vote proxies either with management or in accordance with the recommendations of third-party proxy providers</w:t>
            </w:r>
            <w:r>
              <w:rPr>
                <w:rFonts w:cs="Calibri"/>
                <w:iCs/>
                <w:sz w:val="20"/>
                <w:szCs w:val="20"/>
              </w:rPr>
              <w:t>, ISS and Glass Lewis</w:t>
            </w:r>
            <w:r w:rsidRPr="00A340DC">
              <w:rPr>
                <w:rFonts w:cs="Calibri"/>
                <w:iCs/>
                <w:sz w:val="20"/>
                <w:szCs w:val="20"/>
              </w:rPr>
              <w:t>.</w:t>
            </w:r>
            <w:r>
              <w:rPr>
                <w:rFonts w:cs="Calibri"/>
                <w:iCs/>
                <w:sz w:val="20"/>
                <w:szCs w:val="20"/>
              </w:rPr>
              <w:t xml:space="preserve"> </w:t>
            </w:r>
            <w:r w:rsidRPr="00A340DC">
              <w:rPr>
                <w:rFonts w:cs="Calibri"/>
                <w:iCs/>
                <w:sz w:val="20"/>
                <w:szCs w:val="20"/>
              </w:rPr>
              <w:t>We</w:t>
            </w:r>
            <w:r>
              <w:rPr>
                <w:rFonts w:cs="Calibri"/>
                <w:iCs/>
                <w:sz w:val="20"/>
                <w:szCs w:val="20"/>
              </w:rPr>
              <w:t xml:space="preserve">llington has its </w:t>
            </w:r>
            <w:r w:rsidRPr="00A340DC">
              <w:rPr>
                <w:rFonts w:cs="Calibri"/>
                <w:iCs/>
                <w:sz w:val="20"/>
                <w:szCs w:val="20"/>
              </w:rPr>
              <w:t>own ESG Research Team</w:t>
            </w:r>
            <w:r>
              <w:rPr>
                <w:rFonts w:cs="Calibri"/>
                <w:iCs/>
                <w:sz w:val="20"/>
                <w:szCs w:val="20"/>
              </w:rPr>
              <w:t xml:space="preserve">, which </w:t>
            </w:r>
            <w:r w:rsidRPr="00A340DC">
              <w:rPr>
                <w:rFonts w:cs="Calibri"/>
                <w:iCs/>
                <w:sz w:val="20"/>
                <w:szCs w:val="20"/>
              </w:rPr>
              <w:t>provides voting recommendations</w:t>
            </w:r>
            <w:r>
              <w:rPr>
                <w:rFonts w:cs="Calibri"/>
                <w:iCs/>
                <w:sz w:val="20"/>
                <w:szCs w:val="20"/>
              </w:rPr>
              <w:t xml:space="preserve">. Based on these resources and in conjunction with Wellington’s Global Proxy Voting Guidelines, individual </w:t>
            </w:r>
            <w:r w:rsidRPr="00A340DC">
              <w:rPr>
                <w:rFonts w:cs="Calibri"/>
                <w:iCs/>
                <w:sz w:val="20"/>
                <w:szCs w:val="20"/>
              </w:rPr>
              <w:t>portfolio manager</w:t>
            </w:r>
            <w:r>
              <w:rPr>
                <w:rFonts w:cs="Calibri"/>
                <w:iCs/>
                <w:sz w:val="20"/>
                <w:szCs w:val="20"/>
              </w:rPr>
              <w:t>s</w:t>
            </w:r>
            <w:r w:rsidRPr="00A340DC">
              <w:rPr>
                <w:rFonts w:cs="Calibri"/>
                <w:iCs/>
                <w:sz w:val="20"/>
                <w:szCs w:val="20"/>
              </w:rPr>
              <w:t xml:space="preserve"> </w:t>
            </w:r>
            <w:r>
              <w:rPr>
                <w:rFonts w:cs="Calibri"/>
                <w:iCs/>
                <w:sz w:val="20"/>
                <w:szCs w:val="20"/>
              </w:rPr>
              <w:t xml:space="preserve">have </w:t>
            </w:r>
            <w:r w:rsidRPr="00A340DC">
              <w:rPr>
                <w:rFonts w:cs="Calibri"/>
                <w:iCs/>
                <w:sz w:val="20"/>
                <w:szCs w:val="20"/>
              </w:rPr>
              <w:t>authority to make final decision</w:t>
            </w:r>
            <w:r>
              <w:rPr>
                <w:rFonts w:cs="Calibri"/>
                <w:iCs/>
                <w:sz w:val="20"/>
                <w:szCs w:val="20"/>
              </w:rPr>
              <w:t>s on voting</w:t>
            </w:r>
            <w:r w:rsidRPr="00A340DC">
              <w:rPr>
                <w:rFonts w:cs="Calibri"/>
                <w:iCs/>
                <w:sz w:val="20"/>
                <w:szCs w:val="20"/>
              </w:rPr>
              <w:t xml:space="preserve">. </w:t>
            </w:r>
            <w:r>
              <w:rPr>
                <w:rFonts w:cs="Calibri"/>
                <w:iCs/>
                <w:sz w:val="20"/>
                <w:szCs w:val="20"/>
              </w:rPr>
              <w:t>T</w:t>
            </w:r>
            <w:r w:rsidRPr="00A340DC">
              <w:rPr>
                <w:rFonts w:cs="Calibri"/>
                <w:iCs/>
                <w:sz w:val="20"/>
                <w:szCs w:val="20"/>
              </w:rPr>
              <w:t>here is no “house vote</w:t>
            </w:r>
            <w:r>
              <w:rPr>
                <w:rFonts w:cs="Calibri"/>
                <w:iCs/>
                <w:sz w:val="20"/>
                <w:szCs w:val="20"/>
              </w:rPr>
              <w:t>”</w:t>
            </w:r>
            <w:r w:rsidRPr="00A340DC">
              <w:rPr>
                <w:rFonts w:cs="Calibri"/>
                <w:iCs/>
                <w:sz w:val="20"/>
                <w:szCs w:val="20"/>
              </w:rPr>
              <w:t xml:space="preserve">. </w:t>
            </w:r>
            <w:r>
              <w:rPr>
                <w:rFonts w:cs="Calibri"/>
                <w:iCs/>
                <w:sz w:val="20"/>
                <w:szCs w:val="20"/>
              </w:rPr>
              <w:t xml:space="preserve">Wellington’s </w:t>
            </w:r>
            <w:r w:rsidRPr="00A340DC">
              <w:rPr>
                <w:rFonts w:cs="Calibri"/>
                <w:iCs/>
                <w:sz w:val="20"/>
                <w:szCs w:val="20"/>
              </w:rPr>
              <w:t>proxy voting system allows different votes to be submitted for the same security.</w:t>
            </w:r>
            <w:r>
              <w:rPr>
                <w:rFonts w:cs="Calibri"/>
                <w:iCs/>
                <w:sz w:val="20"/>
                <w:szCs w:val="20"/>
              </w:rPr>
              <w:t xml:space="preserve"> V</w:t>
            </w:r>
            <w:r w:rsidRPr="00A340DC">
              <w:rPr>
                <w:rFonts w:cs="Calibri"/>
                <w:iCs/>
                <w:sz w:val="20"/>
                <w:szCs w:val="20"/>
              </w:rPr>
              <w:t>arious portfolio managers holding the same securities may arrive at different voting conclusions for their clients’ proxies.</w:t>
            </w:r>
          </w:p>
        </w:tc>
      </w:tr>
      <w:tr w:rsidR="005C2FE6" w:rsidRPr="004C2CEB" w14:paraId="6D21BBD8"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5A681E26" w14:textId="3CBCF5FC" w:rsidR="005C2FE6" w:rsidRPr="00114BFD" w:rsidRDefault="005C2FE6" w:rsidP="005C2FE6">
            <w:pPr>
              <w:pStyle w:val="NormalWeb"/>
              <w:spacing w:before="0" w:beforeAutospacing="0" w:after="0" w:afterAutospacing="0"/>
              <w:jc w:val="center"/>
              <w:rPr>
                <w:rFonts w:asciiTheme="minorHAnsi" w:eastAsia="Calibri" w:hAnsiTheme="minorHAnsi" w:cs="Arial"/>
                <w:color w:val="000000" w:themeColor="text1"/>
                <w:kern w:val="24"/>
                <w:sz w:val="20"/>
                <w:szCs w:val="20"/>
              </w:rPr>
            </w:pPr>
            <w:r w:rsidRPr="008E060B">
              <w:rPr>
                <w:rFonts w:asciiTheme="minorHAnsi" w:eastAsia="Calibri" w:hAnsiTheme="minorHAnsi" w:cs="Arial"/>
                <w:b/>
                <w:bCs/>
                <w:color w:val="000000" w:themeColor="text1"/>
                <w:kern w:val="24"/>
                <w:sz w:val="20"/>
                <w:szCs w:val="20"/>
              </w:rPr>
              <w:t xml:space="preserve">NCsoft Corporation </w:t>
            </w:r>
            <w:r w:rsidRPr="008E060B">
              <w:rPr>
                <w:rFonts w:asciiTheme="minorHAnsi" w:eastAsia="Calibri" w:hAnsiTheme="minorHAnsi" w:cs="Arial"/>
                <w:color w:val="000000" w:themeColor="text1"/>
                <w:kern w:val="24"/>
                <w:sz w:val="17"/>
                <w:szCs w:val="17"/>
              </w:rPr>
              <w:t>(South Korean video game developer</w:t>
            </w:r>
            <w:r w:rsidRPr="008E060B">
              <w:rPr>
                <w:rFonts w:asciiTheme="minorHAnsi" w:hAnsiTheme="minorHAnsi" w:cs="Arial"/>
                <w:color w:val="4D5156"/>
                <w:sz w:val="17"/>
                <w:szCs w:val="17"/>
                <w:shd w:val="clear" w:color="auto" w:fill="FFFFFF"/>
              </w:rPr>
              <w:t>)</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67596FC5" w14:textId="75125BEA" w:rsidR="005C2FE6" w:rsidRPr="00A340DC" w:rsidRDefault="005C2FE6" w:rsidP="005C2FE6">
            <w:pPr>
              <w:spacing w:after="120"/>
              <w:jc w:val="both"/>
              <w:rPr>
                <w:rFonts w:cs="Calibri"/>
                <w:iCs/>
                <w:sz w:val="20"/>
                <w:szCs w:val="20"/>
              </w:rPr>
            </w:pPr>
            <w:r w:rsidRPr="008E060B">
              <w:rPr>
                <w:rFonts w:cs="Calibri"/>
                <w:iCs/>
                <w:sz w:val="20"/>
                <w:szCs w:val="20"/>
              </w:rPr>
              <w:t>NCsoft Corporation develops and publishes online games worldwide. The company is also involved in call center management, professional baseball, and media content creation. The company’s financial statements and allocation of profits/dividends were up for a vote at the annual general meeting in</w:t>
            </w:r>
            <w:r>
              <w:rPr>
                <w:rFonts w:cs="Calibri"/>
                <w:iCs/>
                <w:sz w:val="20"/>
                <w:szCs w:val="20"/>
              </w:rPr>
              <w:t xml:space="preserve"> 2023</w:t>
            </w:r>
            <w:r w:rsidRPr="008E060B">
              <w:rPr>
                <w:rFonts w:cs="Calibri"/>
                <w:iCs/>
                <w:sz w:val="20"/>
                <w:szCs w:val="20"/>
              </w:rPr>
              <w:t>. Korean regulation does not require audited financial statements to be published in a meeting notice nor in the meeting circular</w:t>
            </w:r>
            <w:r>
              <w:rPr>
                <w:rFonts w:cs="Calibri"/>
                <w:iCs/>
                <w:sz w:val="20"/>
                <w:szCs w:val="20"/>
              </w:rPr>
              <w:t>. T</w:t>
            </w:r>
            <w:r w:rsidRPr="008E060B">
              <w:rPr>
                <w:rFonts w:cs="Calibri"/>
                <w:iCs/>
                <w:sz w:val="20"/>
                <w:szCs w:val="20"/>
              </w:rPr>
              <w:t xml:space="preserve">herefore, unless the company discloses its auditor’s report around the announcement of the annual general meeting, it is difficult for shareholders to determine whether they received audited financial statements in the meeting circulars. An auditor’s opinion is crucial to provide independent examination and verification of a company’s financial statements and therefore understand the true financial condition and associated risk of a company. Because at the time of </w:t>
            </w:r>
            <w:r>
              <w:rPr>
                <w:rFonts w:cs="Calibri"/>
                <w:iCs/>
                <w:sz w:val="20"/>
                <w:szCs w:val="20"/>
              </w:rPr>
              <w:t xml:space="preserve">the </w:t>
            </w:r>
            <w:r w:rsidRPr="008E060B">
              <w:rPr>
                <w:rFonts w:cs="Calibri"/>
                <w:iCs/>
                <w:sz w:val="20"/>
                <w:szCs w:val="20"/>
              </w:rPr>
              <w:t>vote</w:t>
            </w:r>
            <w:r>
              <w:rPr>
                <w:rFonts w:cs="Calibri"/>
                <w:iCs/>
                <w:sz w:val="20"/>
                <w:szCs w:val="20"/>
              </w:rPr>
              <w:t xml:space="preserve">, Wellington </w:t>
            </w:r>
            <w:r w:rsidRPr="008E060B">
              <w:rPr>
                <w:rFonts w:cs="Calibri"/>
                <w:iCs/>
                <w:sz w:val="20"/>
                <w:szCs w:val="20"/>
              </w:rPr>
              <w:t>could not verify the auditor’s opinion of the company’s financial statements</w:t>
            </w:r>
            <w:r>
              <w:rPr>
                <w:rFonts w:cs="Calibri"/>
                <w:iCs/>
                <w:sz w:val="20"/>
                <w:szCs w:val="20"/>
              </w:rPr>
              <w:t xml:space="preserve">. Wellington therefore </w:t>
            </w:r>
            <w:r w:rsidRPr="008E060B">
              <w:rPr>
                <w:rFonts w:cs="Calibri"/>
                <w:iCs/>
                <w:sz w:val="20"/>
                <w:szCs w:val="20"/>
              </w:rPr>
              <w:t xml:space="preserve">chose to vote against the </w:t>
            </w:r>
            <w:r>
              <w:rPr>
                <w:rFonts w:cs="Calibri"/>
                <w:iCs/>
                <w:sz w:val="20"/>
                <w:szCs w:val="20"/>
              </w:rPr>
              <w:t>vote</w:t>
            </w:r>
            <w:r w:rsidRPr="008E060B">
              <w:rPr>
                <w:rFonts w:cs="Calibri"/>
                <w:iCs/>
                <w:sz w:val="20"/>
                <w:szCs w:val="20"/>
              </w:rPr>
              <w:t>.</w:t>
            </w:r>
          </w:p>
        </w:tc>
      </w:tr>
      <w:tr w:rsidR="00F34C85" w:rsidRPr="004C2CEB" w14:paraId="22C3BEA0" w14:textId="77777777" w:rsidTr="00F73720">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257EA2E0" w14:textId="77777777" w:rsidR="00F34C85" w:rsidRPr="00690971" w:rsidRDefault="00F34C85" w:rsidP="00F34C85">
            <w:pPr>
              <w:pStyle w:val="NormalWeb"/>
              <w:spacing w:before="0" w:beforeAutospacing="0" w:after="0" w:afterAutospacing="0"/>
              <w:rPr>
                <w:rFonts w:asciiTheme="minorHAnsi" w:eastAsia="Calibri" w:hAnsiTheme="minorHAnsi" w:cs="Arial"/>
                <w:b/>
                <w:bCs/>
                <w:color w:val="000000" w:themeColor="text1"/>
                <w:kern w:val="24"/>
                <w:sz w:val="20"/>
                <w:szCs w:val="20"/>
              </w:rPr>
            </w:pPr>
            <w:r w:rsidRPr="00F927DC">
              <w:rPr>
                <w:rFonts w:asciiTheme="minorHAnsi" w:eastAsia="Calibri" w:hAnsiTheme="minorHAnsi" w:cs="Arial"/>
                <w:b/>
                <w:bCs/>
                <w:color w:val="000000" w:themeColor="text1"/>
                <w:kern w:val="24"/>
                <w:sz w:val="20"/>
                <w:szCs w:val="20"/>
              </w:rPr>
              <w:t>Wellington Small Cap Equities</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tbl>
            <w:tblPr>
              <w:tblW w:w="8243" w:type="dxa"/>
              <w:tblLayout w:type="fixed"/>
              <w:tblLook w:val="04A0" w:firstRow="1" w:lastRow="0" w:firstColumn="1" w:lastColumn="0" w:noHBand="0" w:noVBand="1"/>
            </w:tblPr>
            <w:tblGrid>
              <w:gridCol w:w="5000"/>
              <w:gridCol w:w="3243"/>
            </w:tblGrid>
            <w:tr w:rsidR="00F34C85" w:rsidRPr="00734D9B" w14:paraId="29FE0BBD" w14:textId="77777777" w:rsidTr="00F73720">
              <w:trPr>
                <w:trHeight w:val="255"/>
              </w:trPr>
              <w:tc>
                <w:tcPr>
                  <w:tcW w:w="5000" w:type="dxa"/>
                  <w:tcBorders>
                    <w:top w:val="nil"/>
                    <w:left w:val="nil"/>
                    <w:bottom w:val="single" w:sz="4" w:space="0" w:color="A6A6A6" w:themeColor="background1" w:themeShade="A6"/>
                    <w:right w:val="nil"/>
                  </w:tcBorders>
                  <w:shd w:val="clear" w:color="auto" w:fill="auto"/>
                  <w:noWrap/>
                  <w:vAlign w:val="bottom"/>
                </w:tcPr>
                <w:p w14:paraId="063B37BB" w14:textId="77777777" w:rsidR="00F34C85" w:rsidRPr="00734D9B" w:rsidRDefault="00F34C85" w:rsidP="00F34C85">
                  <w:pPr>
                    <w:rPr>
                      <w:rFonts w:eastAsia="Times New Roman" w:cs="Arial"/>
                      <w:color w:val="000000"/>
                      <w:sz w:val="20"/>
                      <w:szCs w:val="20"/>
                      <w:lang w:val="en-GB" w:eastAsia="en-GB"/>
                    </w:rPr>
                  </w:pPr>
                </w:p>
              </w:tc>
              <w:tc>
                <w:tcPr>
                  <w:tcW w:w="3243" w:type="dxa"/>
                  <w:tcBorders>
                    <w:top w:val="nil"/>
                    <w:left w:val="nil"/>
                    <w:bottom w:val="single" w:sz="4" w:space="0" w:color="A6A6A6" w:themeColor="background1" w:themeShade="A6"/>
                    <w:right w:val="nil"/>
                  </w:tcBorders>
                  <w:vAlign w:val="bottom"/>
                </w:tcPr>
                <w:p w14:paraId="28D5B7EF" w14:textId="5C5D260E" w:rsidR="00F34C85" w:rsidRPr="00F927DC" w:rsidRDefault="00F34C85" w:rsidP="00F34C85">
                  <w:pPr>
                    <w:jc w:val="center"/>
                    <w:rPr>
                      <w:rFonts w:eastAsia="Times New Roman" w:cs="Arial"/>
                      <w:b/>
                      <w:bCs/>
                      <w:color w:val="000000"/>
                      <w:sz w:val="20"/>
                      <w:szCs w:val="20"/>
                      <w:lang w:val="en-GB" w:eastAsia="en-GB"/>
                    </w:rPr>
                  </w:pPr>
                  <w:r w:rsidRPr="00F927DC">
                    <w:rPr>
                      <w:rFonts w:eastAsia="Times New Roman" w:cs="Arial"/>
                      <w:b/>
                      <w:bCs/>
                      <w:color w:val="000000"/>
                      <w:sz w:val="20"/>
                      <w:szCs w:val="20"/>
                      <w:lang w:val="en-GB" w:eastAsia="en-GB"/>
                    </w:rPr>
                    <w:t xml:space="preserve">Year to </w:t>
                  </w:r>
                  <w:r>
                    <w:rPr>
                      <w:rFonts w:eastAsia="Times New Roman" w:cs="Arial"/>
                      <w:b/>
                      <w:bCs/>
                      <w:color w:val="000000"/>
                      <w:sz w:val="20"/>
                      <w:szCs w:val="20"/>
                      <w:lang w:val="en-GB" w:eastAsia="en-GB"/>
                    </w:rPr>
                    <w:t>31 March 202</w:t>
                  </w:r>
                  <w:r w:rsidR="005C2FE6">
                    <w:rPr>
                      <w:rFonts w:eastAsia="Times New Roman" w:cs="Arial"/>
                      <w:b/>
                      <w:bCs/>
                      <w:color w:val="000000"/>
                      <w:sz w:val="20"/>
                      <w:szCs w:val="20"/>
                      <w:lang w:val="en-GB" w:eastAsia="en-GB"/>
                    </w:rPr>
                    <w:t>4</w:t>
                  </w:r>
                </w:p>
              </w:tc>
            </w:tr>
            <w:tr w:rsidR="005C2FE6" w:rsidRPr="00734D9B" w14:paraId="438A61C3" w14:textId="77777777" w:rsidTr="008870F5">
              <w:trPr>
                <w:trHeight w:val="255"/>
              </w:trPr>
              <w:tc>
                <w:tcPr>
                  <w:tcW w:w="5000" w:type="dxa"/>
                  <w:tcBorders>
                    <w:top w:val="single" w:sz="4" w:space="0" w:color="A6A6A6" w:themeColor="background1" w:themeShade="A6"/>
                    <w:left w:val="nil"/>
                    <w:right w:val="nil"/>
                  </w:tcBorders>
                  <w:shd w:val="clear" w:color="auto" w:fill="auto"/>
                  <w:noWrap/>
                  <w:vAlign w:val="bottom"/>
                </w:tcPr>
                <w:p w14:paraId="1215292E" w14:textId="77777777" w:rsidR="005C2FE6" w:rsidRPr="00734D9B" w:rsidRDefault="005C2FE6" w:rsidP="005C2FE6">
                  <w:pPr>
                    <w:rPr>
                      <w:rFonts w:eastAsia="Times New Roman" w:cs="Arial"/>
                      <w:color w:val="000000"/>
                      <w:sz w:val="20"/>
                      <w:szCs w:val="20"/>
                      <w:lang w:val="en-GB" w:eastAsia="en-GB"/>
                    </w:rPr>
                  </w:pPr>
                  <w:r>
                    <w:rPr>
                      <w:rFonts w:eastAsia="Times New Roman" w:cs="Arial"/>
                      <w:color w:val="000000"/>
                      <w:sz w:val="20"/>
                      <w:szCs w:val="20"/>
                      <w:lang w:val="en-GB" w:eastAsia="en-GB"/>
                    </w:rPr>
                    <w:t>Votable proposals</w:t>
                  </w:r>
                </w:p>
              </w:tc>
              <w:tc>
                <w:tcPr>
                  <w:tcW w:w="3243" w:type="dxa"/>
                  <w:tcBorders>
                    <w:top w:val="single" w:sz="4" w:space="0" w:color="A6A6A6" w:themeColor="background1" w:themeShade="A6"/>
                    <w:left w:val="nil"/>
                    <w:right w:val="nil"/>
                  </w:tcBorders>
                </w:tcPr>
                <w:p w14:paraId="50D9832E" w14:textId="7C89BF46" w:rsidR="005C2FE6" w:rsidRPr="00F927DC" w:rsidRDefault="005C2FE6" w:rsidP="005C2FE6">
                  <w:pPr>
                    <w:jc w:val="center"/>
                    <w:rPr>
                      <w:rFonts w:eastAsia="Times New Roman" w:cs="Arial"/>
                      <w:color w:val="000000"/>
                      <w:sz w:val="20"/>
                      <w:szCs w:val="20"/>
                      <w:lang w:val="en-GB" w:eastAsia="en-GB"/>
                    </w:rPr>
                  </w:pPr>
                  <w:r>
                    <w:t>1,415</w:t>
                  </w:r>
                </w:p>
              </w:tc>
            </w:tr>
            <w:tr w:rsidR="005C2FE6" w:rsidRPr="00734D9B" w14:paraId="73852067" w14:textId="77777777" w:rsidTr="008870F5">
              <w:trPr>
                <w:trHeight w:val="255"/>
              </w:trPr>
              <w:tc>
                <w:tcPr>
                  <w:tcW w:w="5000" w:type="dxa"/>
                  <w:tcBorders>
                    <w:left w:val="nil"/>
                    <w:bottom w:val="nil"/>
                    <w:right w:val="nil"/>
                  </w:tcBorders>
                  <w:shd w:val="clear" w:color="auto" w:fill="auto"/>
                  <w:noWrap/>
                  <w:vAlign w:val="bottom"/>
                  <w:hideMark/>
                </w:tcPr>
                <w:p w14:paraId="2ED55ED1" w14:textId="77777777" w:rsidR="005C2FE6" w:rsidRPr="00734D9B" w:rsidRDefault="005C2FE6" w:rsidP="005C2FE6">
                  <w:pPr>
                    <w:rPr>
                      <w:rFonts w:eastAsia="Times New Roman" w:cs="Arial"/>
                      <w:color w:val="000000"/>
                      <w:sz w:val="20"/>
                      <w:szCs w:val="20"/>
                      <w:lang w:val="en-GB" w:eastAsia="en-GB"/>
                    </w:rPr>
                  </w:pPr>
                  <w:r w:rsidRPr="00734D9B">
                    <w:rPr>
                      <w:rFonts w:eastAsia="Times New Roman" w:cs="Arial"/>
                      <w:color w:val="000000"/>
                      <w:sz w:val="20"/>
                      <w:szCs w:val="20"/>
                      <w:lang w:val="en-GB" w:eastAsia="en-GB"/>
                    </w:rPr>
                    <w:t>% of resolutions voted</w:t>
                  </w:r>
                </w:p>
              </w:tc>
              <w:tc>
                <w:tcPr>
                  <w:tcW w:w="3243" w:type="dxa"/>
                  <w:tcBorders>
                    <w:left w:val="nil"/>
                    <w:bottom w:val="nil"/>
                    <w:right w:val="nil"/>
                  </w:tcBorders>
                </w:tcPr>
                <w:p w14:paraId="4AA33DC2" w14:textId="4B7BD89D" w:rsidR="005C2FE6" w:rsidRPr="00F927DC" w:rsidRDefault="005C2FE6" w:rsidP="005C2FE6">
                  <w:pPr>
                    <w:jc w:val="center"/>
                    <w:rPr>
                      <w:rFonts w:eastAsia="Times New Roman" w:cs="Arial"/>
                      <w:color w:val="000000"/>
                      <w:sz w:val="20"/>
                      <w:szCs w:val="20"/>
                      <w:lang w:val="en-GB" w:eastAsia="en-GB"/>
                    </w:rPr>
                  </w:pPr>
                  <w:r>
                    <w:t>97%</w:t>
                  </w:r>
                </w:p>
              </w:tc>
            </w:tr>
            <w:tr w:rsidR="005C2FE6" w:rsidRPr="00734D9B" w14:paraId="56550BEF" w14:textId="77777777" w:rsidTr="008870F5">
              <w:trPr>
                <w:trHeight w:val="255"/>
              </w:trPr>
              <w:tc>
                <w:tcPr>
                  <w:tcW w:w="5000" w:type="dxa"/>
                  <w:tcBorders>
                    <w:top w:val="nil"/>
                    <w:left w:val="nil"/>
                    <w:bottom w:val="nil"/>
                    <w:right w:val="nil"/>
                  </w:tcBorders>
                  <w:shd w:val="clear" w:color="auto" w:fill="auto"/>
                  <w:noWrap/>
                  <w:vAlign w:val="bottom"/>
                  <w:hideMark/>
                </w:tcPr>
                <w:p w14:paraId="553902F5" w14:textId="77777777" w:rsidR="005C2FE6" w:rsidRPr="00734D9B" w:rsidRDefault="005C2FE6" w:rsidP="005C2FE6">
                  <w:pPr>
                    <w:rPr>
                      <w:rFonts w:eastAsia="Times New Roman" w:cs="Arial"/>
                      <w:color w:val="000000"/>
                      <w:sz w:val="20"/>
                      <w:szCs w:val="20"/>
                      <w:lang w:val="en-GB" w:eastAsia="en-GB"/>
                    </w:rPr>
                  </w:pPr>
                  <w:r w:rsidRPr="00734D9B">
                    <w:rPr>
                      <w:rFonts w:eastAsia="Times New Roman" w:cs="Arial"/>
                      <w:color w:val="000000"/>
                      <w:sz w:val="20"/>
                      <w:szCs w:val="20"/>
                      <w:lang w:val="en-GB" w:eastAsia="en-GB"/>
                    </w:rPr>
                    <w:t>% of resolutions voted against management</w:t>
                  </w:r>
                </w:p>
              </w:tc>
              <w:tc>
                <w:tcPr>
                  <w:tcW w:w="3243" w:type="dxa"/>
                  <w:tcBorders>
                    <w:top w:val="nil"/>
                    <w:left w:val="nil"/>
                    <w:bottom w:val="nil"/>
                    <w:right w:val="nil"/>
                  </w:tcBorders>
                </w:tcPr>
                <w:p w14:paraId="07334E71" w14:textId="6931E65C" w:rsidR="005C2FE6" w:rsidRDefault="005C2FE6" w:rsidP="005C2FE6">
                  <w:pPr>
                    <w:jc w:val="center"/>
                    <w:rPr>
                      <w:rFonts w:eastAsia="Times New Roman" w:cs="Arial"/>
                      <w:color w:val="000000"/>
                      <w:sz w:val="20"/>
                      <w:szCs w:val="20"/>
                      <w:lang w:val="en-GB" w:eastAsia="en-GB"/>
                    </w:rPr>
                  </w:pPr>
                  <w:r>
                    <w:t>6%</w:t>
                  </w:r>
                </w:p>
              </w:tc>
            </w:tr>
            <w:tr w:rsidR="005C2FE6" w:rsidRPr="00734D9B" w14:paraId="6979B2C0" w14:textId="77777777" w:rsidTr="008870F5">
              <w:trPr>
                <w:trHeight w:val="255"/>
              </w:trPr>
              <w:tc>
                <w:tcPr>
                  <w:tcW w:w="5000" w:type="dxa"/>
                  <w:tcBorders>
                    <w:top w:val="nil"/>
                    <w:left w:val="nil"/>
                    <w:bottom w:val="nil"/>
                    <w:right w:val="nil"/>
                  </w:tcBorders>
                  <w:shd w:val="clear" w:color="auto" w:fill="auto"/>
                  <w:noWrap/>
                  <w:vAlign w:val="bottom"/>
                  <w:hideMark/>
                </w:tcPr>
                <w:p w14:paraId="17B7A339" w14:textId="77777777" w:rsidR="005C2FE6" w:rsidRPr="00734D9B" w:rsidRDefault="005C2FE6" w:rsidP="005C2FE6">
                  <w:pPr>
                    <w:rPr>
                      <w:rFonts w:eastAsia="Times New Roman" w:cs="Arial"/>
                      <w:color w:val="000000"/>
                      <w:sz w:val="20"/>
                      <w:szCs w:val="20"/>
                      <w:lang w:val="en-GB" w:eastAsia="en-GB"/>
                    </w:rPr>
                  </w:pPr>
                  <w:r w:rsidRPr="00734D9B">
                    <w:rPr>
                      <w:rFonts w:eastAsia="Times New Roman" w:cs="Arial"/>
                      <w:color w:val="000000"/>
                      <w:sz w:val="20"/>
                      <w:szCs w:val="20"/>
                      <w:lang w:val="en-GB" w:eastAsia="en-GB"/>
                    </w:rPr>
                    <w:t xml:space="preserve">% of resolutions abstained </w:t>
                  </w:r>
                </w:p>
              </w:tc>
              <w:tc>
                <w:tcPr>
                  <w:tcW w:w="3243" w:type="dxa"/>
                  <w:tcBorders>
                    <w:top w:val="nil"/>
                    <w:left w:val="nil"/>
                    <w:bottom w:val="nil"/>
                    <w:right w:val="nil"/>
                  </w:tcBorders>
                </w:tcPr>
                <w:p w14:paraId="7AFD7B8C" w14:textId="3A5F43C5" w:rsidR="005C2FE6" w:rsidRDefault="005C2FE6" w:rsidP="005C2FE6">
                  <w:pPr>
                    <w:jc w:val="center"/>
                    <w:rPr>
                      <w:rFonts w:eastAsia="Times New Roman" w:cs="Arial"/>
                      <w:color w:val="000000"/>
                      <w:sz w:val="20"/>
                      <w:szCs w:val="20"/>
                      <w:lang w:val="en-GB" w:eastAsia="en-GB"/>
                    </w:rPr>
                  </w:pPr>
                  <w:r>
                    <w:t>0%</w:t>
                  </w:r>
                </w:p>
              </w:tc>
            </w:tr>
          </w:tbl>
          <w:p w14:paraId="7CCB6A8E" w14:textId="77777777" w:rsidR="00F34C85" w:rsidRPr="00CF3513" w:rsidRDefault="00F34C85" w:rsidP="00F34C85">
            <w:pPr>
              <w:rPr>
                <w:rFonts w:cs="Calibri"/>
                <w:iCs/>
                <w:sz w:val="20"/>
                <w:szCs w:val="20"/>
              </w:rPr>
            </w:pPr>
          </w:p>
        </w:tc>
      </w:tr>
    </w:tbl>
    <w:p w14:paraId="4A74CF79" w14:textId="77777777" w:rsidR="00877E81" w:rsidRDefault="00877E81" w:rsidP="00877E81">
      <w:pPr>
        <w:spacing w:after="120"/>
        <w:rPr>
          <w:rFonts w:eastAsia="Times New Roman" w:cs="Calibri"/>
          <w:b/>
          <w:bCs/>
          <w:color w:val="000000" w:themeColor="text1"/>
          <w:sz w:val="20"/>
          <w:szCs w:val="20"/>
          <w:lang w:val="en-GB"/>
        </w:rPr>
      </w:pPr>
    </w:p>
    <w:p w14:paraId="7904B6E5" w14:textId="12DFD721" w:rsidR="00B925AE" w:rsidRPr="004C2CEB" w:rsidRDefault="00B925AE" w:rsidP="00B925AE">
      <w:pPr>
        <w:spacing w:after="120"/>
        <w:rPr>
          <w:b/>
          <w:bCs/>
          <w:sz w:val="20"/>
          <w:szCs w:val="20"/>
          <w:lang w:val="en-GB"/>
        </w:rPr>
      </w:pPr>
      <w:r>
        <w:rPr>
          <w:b/>
          <w:bCs/>
          <w:sz w:val="20"/>
          <w:szCs w:val="20"/>
          <w:lang w:val="en-GB"/>
        </w:rPr>
        <w:t>J P Morgan</w:t>
      </w:r>
      <w:r w:rsidR="005C2FE6">
        <w:rPr>
          <w:b/>
          <w:bCs/>
          <w:sz w:val="20"/>
          <w:szCs w:val="20"/>
          <w:lang w:val="en-GB"/>
        </w:rPr>
        <w:t>:</w:t>
      </w:r>
    </w:p>
    <w:tbl>
      <w:tblPr>
        <w:tblW w:w="10348" w:type="dxa"/>
        <w:tblLayout w:type="fixed"/>
        <w:tblCellMar>
          <w:left w:w="0" w:type="dxa"/>
          <w:right w:w="0" w:type="dxa"/>
        </w:tblCellMar>
        <w:tblLook w:val="04A0" w:firstRow="1" w:lastRow="0" w:firstColumn="1" w:lastColumn="0" w:noHBand="0" w:noVBand="1"/>
      </w:tblPr>
      <w:tblGrid>
        <w:gridCol w:w="1560"/>
        <w:gridCol w:w="8788"/>
      </w:tblGrid>
      <w:tr w:rsidR="00C7766D" w:rsidRPr="004C2CEB" w14:paraId="47E36A06" w14:textId="77777777" w:rsidTr="005C2FE6">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44E97816" w14:textId="3FCFE8BB" w:rsidR="00C7766D" w:rsidRPr="00690971" w:rsidRDefault="00C7766D" w:rsidP="00C7766D">
            <w:pPr>
              <w:pStyle w:val="NormalWeb"/>
              <w:spacing w:before="0" w:beforeAutospacing="0" w:after="0" w:afterAutospacing="0"/>
              <w:jc w:val="center"/>
              <w:rPr>
                <w:rFonts w:asciiTheme="minorHAnsi" w:eastAsia="Calibri" w:hAnsiTheme="minorHAnsi" w:cs="Arial"/>
                <w:b/>
                <w:bCs/>
                <w:color w:val="000000" w:themeColor="text1"/>
                <w:kern w:val="24"/>
                <w:sz w:val="20"/>
                <w:szCs w:val="20"/>
              </w:rPr>
            </w:pPr>
            <w:r>
              <w:rPr>
                <w:rFonts w:asciiTheme="minorHAnsi" w:eastAsia="Calibri" w:hAnsiTheme="minorHAnsi" w:cs="Arial"/>
                <w:b/>
                <w:bCs/>
                <w:color w:val="000000" w:themeColor="text1"/>
                <w:kern w:val="24"/>
                <w:sz w:val="20"/>
                <w:szCs w:val="20"/>
              </w:rPr>
              <w:t xml:space="preserve">Approach </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698D1C94" w14:textId="77777777" w:rsidR="00F34C85" w:rsidRPr="007D0BA9" w:rsidRDefault="00F34C85" w:rsidP="00F34C85">
            <w:pPr>
              <w:pStyle w:val="NormalWeb"/>
              <w:spacing w:after="120"/>
              <w:jc w:val="both"/>
              <w:rPr>
                <w:rFonts w:asciiTheme="minorHAnsi" w:eastAsia="Calibri" w:hAnsiTheme="minorHAnsi" w:cs="Arial"/>
                <w:color w:val="000000" w:themeColor="text1"/>
                <w:kern w:val="24"/>
                <w:sz w:val="20"/>
                <w:szCs w:val="20"/>
              </w:rPr>
            </w:pPr>
            <w:r w:rsidRPr="007D0BA9">
              <w:rPr>
                <w:rFonts w:asciiTheme="minorHAnsi" w:eastAsia="Calibri" w:hAnsiTheme="minorHAnsi" w:cs="Arial"/>
                <w:color w:val="000000" w:themeColor="text1"/>
                <w:kern w:val="24"/>
                <w:sz w:val="20"/>
                <w:szCs w:val="20"/>
              </w:rPr>
              <w:t xml:space="preserve">JP Morgan has an explicitly stated investment stewardship philosophy, believing that the companies they engage with will produce better long-term financial results, while simultaneously contributing to an improved society. JP Morgan’s stewardship activities are based on proprietary environmental, social and governance research, driven by both their broad investment teams in addition to a dedicated Sustainable Investing team. </w:t>
            </w:r>
          </w:p>
          <w:p w14:paraId="658E3EFE" w14:textId="77777777" w:rsidR="00F34C85" w:rsidRPr="007D0BA9" w:rsidRDefault="00F34C85" w:rsidP="00F34C85">
            <w:pPr>
              <w:pStyle w:val="NormalWeb"/>
              <w:spacing w:after="120"/>
              <w:jc w:val="both"/>
              <w:rPr>
                <w:rFonts w:asciiTheme="minorHAnsi" w:eastAsia="Calibri" w:hAnsiTheme="minorHAnsi" w:cs="Arial"/>
                <w:color w:val="000000" w:themeColor="text1"/>
                <w:kern w:val="24"/>
                <w:sz w:val="20"/>
                <w:szCs w:val="20"/>
              </w:rPr>
            </w:pPr>
            <w:r w:rsidRPr="007D0BA9">
              <w:rPr>
                <w:rFonts w:asciiTheme="minorHAnsi" w:eastAsia="Calibri" w:hAnsiTheme="minorHAnsi" w:cs="Arial"/>
                <w:color w:val="000000" w:themeColor="text1"/>
                <w:kern w:val="24"/>
                <w:sz w:val="20"/>
                <w:szCs w:val="20"/>
              </w:rPr>
              <w:t>JP Morgan subscribes to research from the proxy advisory firms Institutional Shareholder Services (ISS), GES International (Sustainalytics) and Glass Lewis.</w:t>
            </w:r>
          </w:p>
          <w:p w14:paraId="6A07CA29" w14:textId="6FF10EB1" w:rsidR="00C7766D" w:rsidRPr="00CF3513" w:rsidRDefault="00F34C85" w:rsidP="00C7766D">
            <w:pPr>
              <w:spacing w:after="120"/>
              <w:jc w:val="both"/>
              <w:rPr>
                <w:rFonts w:cs="Calibri"/>
                <w:iCs/>
                <w:sz w:val="20"/>
                <w:szCs w:val="20"/>
              </w:rPr>
            </w:pPr>
            <w:r w:rsidRPr="007D0BA9">
              <w:rPr>
                <w:rFonts w:eastAsia="Calibri" w:cs="Arial"/>
                <w:color w:val="000000" w:themeColor="text1"/>
                <w:kern w:val="24"/>
                <w:sz w:val="20"/>
                <w:szCs w:val="20"/>
              </w:rPr>
              <w:t>JP Morgan’s Sustainable Investing Oversight Committee is made up of chief investment officers and leaders from its sustainable investing and control functions, and serves as a single point of strategic oversight, decision-making, review and assurance. The business employs regional heads of stewardship to work with local teams, while the Global Head of Sustainable Investing, Jennifer Wu, oversees the global stewardship effort. With regards to engagement, JP Morgan conducts approximately 500 dedicated ESG engagement meetings per year.</w:t>
            </w:r>
          </w:p>
        </w:tc>
      </w:tr>
      <w:tr w:rsidR="005C2FE6" w:rsidRPr="00930105" w14:paraId="001D730C" w14:textId="77777777" w:rsidTr="005C2FE6">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7B5666A6" w14:textId="77777777" w:rsidR="005C2FE6" w:rsidRDefault="005C2FE6" w:rsidP="008870F5">
            <w:pPr>
              <w:pStyle w:val="NormalWeb"/>
              <w:spacing w:before="0" w:beforeAutospacing="0" w:after="0" w:afterAutospacing="0"/>
              <w:jc w:val="center"/>
              <w:rPr>
                <w:rFonts w:asciiTheme="minorHAnsi" w:eastAsia="Calibri" w:hAnsiTheme="minorHAnsi" w:cs="Arial"/>
                <w:b/>
                <w:bCs/>
                <w:color w:val="000000" w:themeColor="text1"/>
                <w:kern w:val="24"/>
                <w:sz w:val="20"/>
                <w:szCs w:val="20"/>
              </w:rPr>
            </w:pPr>
            <w:r w:rsidRPr="005075F1">
              <w:rPr>
                <w:rFonts w:asciiTheme="minorHAnsi" w:eastAsia="Calibri" w:hAnsiTheme="minorHAnsi" w:cs="Arial"/>
                <w:b/>
                <w:bCs/>
                <w:color w:val="000000" w:themeColor="text1"/>
                <w:kern w:val="24"/>
                <w:sz w:val="20"/>
                <w:szCs w:val="20"/>
              </w:rPr>
              <w:t>China Merchants Bank Co., Ltd</w:t>
            </w:r>
          </w:p>
          <w:p w14:paraId="3CACDE9F" w14:textId="77777777" w:rsidR="005C2FE6" w:rsidRDefault="005C2FE6" w:rsidP="004E520A">
            <w:pPr>
              <w:pStyle w:val="NormalWeb"/>
              <w:spacing w:before="0" w:beforeAutospacing="0" w:after="0" w:afterAutospacing="0"/>
              <w:jc w:val="center"/>
              <w:rPr>
                <w:rFonts w:asciiTheme="minorHAnsi" w:eastAsia="Calibri" w:hAnsiTheme="minorHAnsi" w:cs="Arial"/>
                <w:b/>
                <w:bCs/>
                <w:color w:val="000000" w:themeColor="text1"/>
                <w:kern w:val="24"/>
                <w:sz w:val="20"/>
                <w:szCs w:val="20"/>
              </w:rPr>
            </w:pPr>
            <w:r w:rsidRPr="003A4959">
              <w:rPr>
                <w:rFonts w:asciiTheme="minorHAnsi" w:eastAsia="Calibri" w:hAnsiTheme="minorHAnsi" w:cs="Arial"/>
                <w:color w:val="000000" w:themeColor="text1"/>
                <w:kern w:val="24"/>
                <w:sz w:val="17"/>
                <w:szCs w:val="17"/>
              </w:rPr>
              <w:t>(Chinese Bank)</w:t>
            </w: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4EE55E64" w14:textId="77777777" w:rsidR="005C2FE6" w:rsidRDefault="005C2FE6" w:rsidP="00AA695A">
            <w:pPr>
              <w:spacing w:after="120"/>
              <w:jc w:val="both"/>
              <w:rPr>
                <w:rFonts w:cs="Calibri"/>
                <w:iCs/>
                <w:sz w:val="20"/>
                <w:szCs w:val="20"/>
              </w:rPr>
            </w:pPr>
            <w:r>
              <w:rPr>
                <w:rFonts w:cs="Calibri"/>
                <w:iCs/>
                <w:sz w:val="20"/>
                <w:szCs w:val="20"/>
              </w:rPr>
              <w:t>China Merchants Bank operates as a commercial bank in China. JP Morgan</w:t>
            </w:r>
            <w:r w:rsidRPr="005075F1">
              <w:rPr>
                <w:rFonts w:cs="Calibri"/>
                <w:iCs/>
                <w:sz w:val="20"/>
                <w:szCs w:val="20"/>
              </w:rPr>
              <w:t xml:space="preserve"> believe that a strong independent element to a board is essential to the effective running of a company and </w:t>
            </w:r>
            <w:r>
              <w:rPr>
                <w:rFonts w:cs="Calibri"/>
                <w:iCs/>
                <w:sz w:val="20"/>
                <w:szCs w:val="20"/>
              </w:rPr>
              <w:t>they</w:t>
            </w:r>
            <w:r w:rsidRPr="005075F1">
              <w:rPr>
                <w:rFonts w:cs="Calibri"/>
                <w:iCs/>
                <w:sz w:val="20"/>
                <w:szCs w:val="20"/>
              </w:rPr>
              <w:t xml:space="preserve"> expect that majority of the board should be comprised of independent directors with clear steps being taken to improve board independence over time. At the same time, non-executive directors should have sufficient time to meet their board responsibilities. In order to be able to devote sufficient time to his or her duties, </w:t>
            </w:r>
            <w:r>
              <w:rPr>
                <w:rFonts w:cs="Calibri"/>
                <w:iCs/>
                <w:sz w:val="20"/>
                <w:szCs w:val="20"/>
              </w:rPr>
              <w:t>JP Morgan</w:t>
            </w:r>
            <w:r w:rsidRPr="005075F1">
              <w:rPr>
                <w:rFonts w:cs="Calibri"/>
                <w:iCs/>
                <w:sz w:val="20"/>
                <w:szCs w:val="20"/>
              </w:rPr>
              <w:t xml:space="preserve"> would not normally expect a non-executive to hold more than three significant directorships at any one time. </w:t>
            </w:r>
          </w:p>
          <w:p w14:paraId="5062F9FE" w14:textId="77777777" w:rsidR="005C2FE6" w:rsidRPr="00930105" w:rsidRDefault="005C2FE6" w:rsidP="00AA695A">
            <w:pPr>
              <w:rPr>
                <w:rFonts w:eastAsia="Times New Roman" w:cs="Arial"/>
                <w:color w:val="000000"/>
                <w:sz w:val="20"/>
                <w:szCs w:val="20"/>
                <w:lang w:val="en-GB" w:eastAsia="en-GB"/>
              </w:rPr>
            </w:pPr>
            <w:r>
              <w:rPr>
                <w:rFonts w:cs="Calibri"/>
                <w:iCs/>
                <w:sz w:val="20"/>
                <w:szCs w:val="20"/>
              </w:rPr>
              <w:t xml:space="preserve">In June 2023, there was a vote to elect a director. </w:t>
            </w:r>
            <w:r w:rsidRPr="005075F1">
              <w:rPr>
                <w:rFonts w:cs="Calibri"/>
                <w:iCs/>
                <w:sz w:val="20"/>
                <w:szCs w:val="20"/>
              </w:rPr>
              <w:t xml:space="preserve">The director candidate is a newly proposed non-independent non-executive director who serves five public boards currently, and the company’s board independence is at 38%, below </w:t>
            </w:r>
            <w:r>
              <w:rPr>
                <w:rFonts w:cs="Calibri"/>
                <w:iCs/>
                <w:sz w:val="20"/>
                <w:szCs w:val="20"/>
              </w:rPr>
              <w:t>JP Morgan’s</w:t>
            </w:r>
            <w:r w:rsidRPr="005075F1">
              <w:rPr>
                <w:rFonts w:cs="Calibri"/>
                <w:iCs/>
                <w:sz w:val="20"/>
                <w:szCs w:val="20"/>
              </w:rPr>
              <w:t xml:space="preserve"> expectation of at least majority independence. As such, </w:t>
            </w:r>
            <w:r>
              <w:rPr>
                <w:rFonts w:cs="Calibri"/>
                <w:iCs/>
                <w:sz w:val="20"/>
                <w:szCs w:val="20"/>
              </w:rPr>
              <w:t>JP Morgan</w:t>
            </w:r>
            <w:r w:rsidRPr="005075F1">
              <w:rPr>
                <w:rFonts w:cs="Calibri"/>
                <w:iCs/>
                <w:sz w:val="20"/>
                <w:szCs w:val="20"/>
              </w:rPr>
              <w:t xml:space="preserve"> voted against his election.</w:t>
            </w:r>
          </w:p>
        </w:tc>
      </w:tr>
      <w:tr w:rsidR="00B925AE" w:rsidRPr="004C2CEB" w14:paraId="535EC798" w14:textId="77777777" w:rsidTr="005C2FE6">
        <w:trPr>
          <w:trHeight w:val="761"/>
        </w:trPr>
        <w:tc>
          <w:tcPr>
            <w:tcW w:w="1560"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p w14:paraId="19444B09" w14:textId="77777777" w:rsidR="00B925AE" w:rsidRDefault="00B925AE" w:rsidP="00FE5EF6">
            <w:pPr>
              <w:pStyle w:val="NormalWeb"/>
              <w:spacing w:before="0" w:beforeAutospacing="0" w:after="0" w:afterAutospacing="0"/>
              <w:rPr>
                <w:rFonts w:asciiTheme="minorHAnsi" w:eastAsia="Calibri" w:hAnsiTheme="minorHAnsi" w:cs="Arial"/>
                <w:b/>
                <w:bCs/>
                <w:color w:val="000000" w:themeColor="text1"/>
                <w:kern w:val="24"/>
                <w:sz w:val="20"/>
                <w:szCs w:val="20"/>
              </w:rPr>
            </w:pPr>
            <w:r>
              <w:rPr>
                <w:rFonts w:asciiTheme="minorHAnsi" w:eastAsia="Calibri" w:hAnsiTheme="minorHAnsi" w:cs="Arial"/>
                <w:b/>
                <w:bCs/>
                <w:color w:val="000000" w:themeColor="text1"/>
                <w:kern w:val="24"/>
                <w:sz w:val="20"/>
                <w:szCs w:val="20"/>
              </w:rPr>
              <w:t>JPM China Equities</w:t>
            </w:r>
          </w:p>
          <w:p w14:paraId="51648EFD" w14:textId="77777777" w:rsidR="005C2FE6" w:rsidRPr="00DA077E" w:rsidRDefault="005C2FE6" w:rsidP="008870F5">
            <w:pPr>
              <w:pStyle w:val="NormalWeb"/>
              <w:spacing w:before="0" w:beforeAutospacing="0" w:after="0" w:afterAutospacing="0"/>
              <w:rPr>
                <w:rFonts w:asciiTheme="minorHAnsi" w:eastAsia="Calibri" w:hAnsiTheme="minorHAnsi" w:cs="Arial"/>
                <w:i/>
                <w:iCs/>
                <w:color w:val="000000" w:themeColor="text1"/>
                <w:kern w:val="24"/>
                <w:sz w:val="17"/>
                <w:szCs w:val="17"/>
              </w:rPr>
            </w:pPr>
            <w:r w:rsidRPr="00DA077E">
              <w:rPr>
                <w:rFonts w:asciiTheme="minorHAnsi" w:eastAsia="Calibri" w:hAnsiTheme="minorHAnsi" w:cs="Arial"/>
                <w:i/>
                <w:iCs/>
                <w:color w:val="000000" w:themeColor="text1"/>
                <w:kern w:val="24"/>
                <w:sz w:val="17"/>
                <w:szCs w:val="17"/>
              </w:rPr>
              <w:t>(Sold in October 2023)</w:t>
            </w:r>
          </w:p>
          <w:p w14:paraId="22A59DF6" w14:textId="79B5F8EB" w:rsidR="005C2FE6" w:rsidRPr="00690971" w:rsidRDefault="005C2FE6" w:rsidP="00FE5EF6">
            <w:pPr>
              <w:pStyle w:val="NormalWeb"/>
              <w:spacing w:before="0" w:beforeAutospacing="0" w:after="0" w:afterAutospacing="0"/>
              <w:rPr>
                <w:rFonts w:asciiTheme="minorHAnsi" w:eastAsia="Calibri" w:hAnsiTheme="minorHAnsi" w:cs="Arial"/>
                <w:b/>
                <w:bCs/>
                <w:color w:val="000000" w:themeColor="text1"/>
                <w:kern w:val="24"/>
                <w:sz w:val="20"/>
                <w:szCs w:val="20"/>
              </w:rPr>
            </w:pPr>
          </w:p>
        </w:tc>
        <w:tc>
          <w:tcPr>
            <w:tcW w:w="8788" w:type="dxa"/>
            <w:tcBorders>
              <w:top w:val="single" w:sz="8" w:space="0" w:color="7F7F7F"/>
              <w:left w:val="nil"/>
              <w:bottom w:val="single" w:sz="8" w:space="0" w:color="7F7F7F"/>
              <w:right w:val="nil"/>
            </w:tcBorders>
            <w:shd w:val="clear" w:color="auto" w:fill="auto"/>
            <w:tcMar>
              <w:top w:w="170" w:type="dxa"/>
              <w:left w:w="113" w:type="dxa"/>
              <w:bottom w:w="57" w:type="dxa"/>
              <w:right w:w="113" w:type="dxa"/>
            </w:tcMar>
            <w:vAlign w:val="center"/>
          </w:tcPr>
          <w:tbl>
            <w:tblPr>
              <w:tblW w:w="8243" w:type="dxa"/>
              <w:tblLayout w:type="fixed"/>
              <w:tblLook w:val="04A0" w:firstRow="1" w:lastRow="0" w:firstColumn="1" w:lastColumn="0" w:noHBand="0" w:noVBand="1"/>
            </w:tblPr>
            <w:tblGrid>
              <w:gridCol w:w="5000"/>
              <w:gridCol w:w="3243"/>
            </w:tblGrid>
            <w:tr w:rsidR="00B925AE" w:rsidRPr="00734D9B" w14:paraId="3433FB94" w14:textId="77777777" w:rsidTr="00FE5EF6">
              <w:trPr>
                <w:trHeight w:val="255"/>
              </w:trPr>
              <w:tc>
                <w:tcPr>
                  <w:tcW w:w="5000" w:type="dxa"/>
                  <w:tcBorders>
                    <w:top w:val="nil"/>
                    <w:left w:val="nil"/>
                    <w:bottom w:val="single" w:sz="4" w:space="0" w:color="A6A6A6" w:themeColor="background1" w:themeShade="A6"/>
                    <w:right w:val="nil"/>
                  </w:tcBorders>
                  <w:shd w:val="clear" w:color="auto" w:fill="auto"/>
                  <w:noWrap/>
                  <w:vAlign w:val="bottom"/>
                </w:tcPr>
                <w:p w14:paraId="46A9BAA9" w14:textId="77777777" w:rsidR="00B925AE" w:rsidRPr="00734D9B" w:rsidRDefault="00B925AE" w:rsidP="00FE5EF6">
                  <w:pPr>
                    <w:rPr>
                      <w:rFonts w:eastAsia="Times New Roman" w:cs="Arial"/>
                      <w:color w:val="000000"/>
                      <w:sz w:val="20"/>
                      <w:szCs w:val="20"/>
                      <w:lang w:val="en-GB" w:eastAsia="en-GB"/>
                    </w:rPr>
                  </w:pPr>
                </w:p>
              </w:tc>
              <w:tc>
                <w:tcPr>
                  <w:tcW w:w="3243" w:type="dxa"/>
                  <w:tcBorders>
                    <w:top w:val="nil"/>
                    <w:left w:val="nil"/>
                    <w:bottom w:val="single" w:sz="4" w:space="0" w:color="A6A6A6" w:themeColor="background1" w:themeShade="A6"/>
                    <w:right w:val="nil"/>
                  </w:tcBorders>
                  <w:vAlign w:val="bottom"/>
                </w:tcPr>
                <w:p w14:paraId="786ACC7E" w14:textId="73B7A911" w:rsidR="00B925AE" w:rsidRPr="00F927DC" w:rsidRDefault="00B925AE" w:rsidP="00FE5EF6">
                  <w:pPr>
                    <w:jc w:val="center"/>
                    <w:rPr>
                      <w:rFonts w:eastAsia="Times New Roman" w:cs="Arial"/>
                      <w:b/>
                      <w:bCs/>
                      <w:color w:val="000000"/>
                      <w:sz w:val="20"/>
                      <w:szCs w:val="20"/>
                      <w:lang w:val="en-GB" w:eastAsia="en-GB"/>
                    </w:rPr>
                  </w:pPr>
                  <w:r w:rsidRPr="00F927DC">
                    <w:rPr>
                      <w:rFonts w:eastAsia="Times New Roman" w:cs="Arial"/>
                      <w:b/>
                      <w:bCs/>
                      <w:color w:val="000000"/>
                      <w:sz w:val="20"/>
                      <w:szCs w:val="20"/>
                      <w:lang w:val="en-GB" w:eastAsia="en-GB"/>
                    </w:rPr>
                    <w:t xml:space="preserve">Year to </w:t>
                  </w:r>
                  <w:r>
                    <w:rPr>
                      <w:rFonts w:eastAsia="Times New Roman" w:cs="Arial"/>
                      <w:b/>
                      <w:bCs/>
                      <w:color w:val="000000"/>
                      <w:sz w:val="20"/>
                      <w:szCs w:val="20"/>
                      <w:lang w:val="en-GB" w:eastAsia="en-GB"/>
                    </w:rPr>
                    <w:t>31 March 202</w:t>
                  </w:r>
                  <w:r w:rsidR="005C2FE6">
                    <w:rPr>
                      <w:rFonts w:eastAsia="Times New Roman" w:cs="Arial"/>
                      <w:b/>
                      <w:bCs/>
                      <w:color w:val="000000"/>
                      <w:sz w:val="20"/>
                      <w:szCs w:val="20"/>
                      <w:lang w:val="en-GB" w:eastAsia="en-GB"/>
                    </w:rPr>
                    <w:t>4</w:t>
                  </w:r>
                </w:p>
              </w:tc>
            </w:tr>
            <w:tr w:rsidR="00EB2F5E" w:rsidRPr="00734D9B" w14:paraId="0B66E4E3" w14:textId="77777777" w:rsidTr="00023C3F">
              <w:trPr>
                <w:trHeight w:val="255"/>
              </w:trPr>
              <w:tc>
                <w:tcPr>
                  <w:tcW w:w="5000" w:type="dxa"/>
                  <w:tcBorders>
                    <w:top w:val="single" w:sz="4" w:space="0" w:color="A6A6A6" w:themeColor="background1" w:themeShade="A6"/>
                    <w:left w:val="nil"/>
                    <w:right w:val="nil"/>
                  </w:tcBorders>
                  <w:shd w:val="clear" w:color="auto" w:fill="auto"/>
                  <w:noWrap/>
                  <w:vAlign w:val="bottom"/>
                </w:tcPr>
                <w:p w14:paraId="494735B5" w14:textId="77777777" w:rsidR="00EB2F5E" w:rsidRPr="00734D9B" w:rsidRDefault="00EB2F5E" w:rsidP="00EB2F5E">
                  <w:pPr>
                    <w:rPr>
                      <w:rFonts w:eastAsia="Times New Roman" w:cs="Arial"/>
                      <w:color w:val="000000"/>
                      <w:sz w:val="20"/>
                      <w:szCs w:val="20"/>
                      <w:lang w:val="en-GB" w:eastAsia="en-GB"/>
                    </w:rPr>
                  </w:pPr>
                  <w:r>
                    <w:rPr>
                      <w:rFonts w:eastAsia="Times New Roman" w:cs="Arial"/>
                      <w:color w:val="000000"/>
                      <w:sz w:val="20"/>
                      <w:szCs w:val="20"/>
                      <w:lang w:val="en-GB" w:eastAsia="en-GB"/>
                    </w:rPr>
                    <w:t>Votable proposals</w:t>
                  </w:r>
                </w:p>
              </w:tc>
              <w:tc>
                <w:tcPr>
                  <w:tcW w:w="3243" w:type="dxa"/>
                  <w:tcBorders>
                    <w:top w:val="single" w:sz="4" w:space="0" w:color="A6A6A6" w:themeColor="background1" w:themeShade="A6"/>
                    <w:left w:val="nil"/>
                    <w:right w:val="nil"/>
                  </w:tcBorders>
                  <w:vAlign w:val="bottom"/>
                </w:tcPr>
                <w:p w14:paraId="4BE42B88" w14:textId="67DDDC79" w:rsidR="00EB2F5E" w:rsidRPr="00F927DC" w:rsidRDefault="00EB2F5E" w:rsidP="00EB2F5E">
                  <w:pPr>
                    <w:jc w:val="center"/>
                    <w:rPr>
                      <w:rFonts w:eastAsia="Times New Roman" w:cs="Arial"/>
                      <w:color w:val="000000"/>
                      <w:sz w:val="20"/>
                      <w:szCs w:val="20"/>
                      <w:lang w:val="en-GB" w:eastAsia="en-GB"/>
                    </w:rPr>
                  </w:pPr>
                  <w:r>
                    <w:rPr>
                      <w:rFonts w:eastAsia="Times New Roman" w:cs="Arial"/>
                      <w:sz w:val="20"/>
                      <w:szCs w:val="20"/>
                      <w:lang w:val="en-GB" w:eastAsia="en-GB"/>
                    </w:rPr>
                    <w:t>567</w:t>
                  </w:r>
                </w:p>
              </w:tc>
            </w:tr>
            <w:tr w:rsidR="00EB2F5E" w:rsidRPr="00734D9B" w14:paraId="13F233A0" w14:textId="77777777" w:rsidTr="00023C3F">
              <w:trPr>
                <w:trHeight w:val="255"/>
              </w:trPr>
              <w:tc>
                <w:tcPr>
                  <w:tcW w:w="5000" w:type="dxa"/>
                  <w:tcBorders>
                    <w:left w:val="nil"/>
                    <w:bottom w:val="nil"/>
                    <w:right w:val="nil"/>
                  </w:tcBorders>
                  <w:shd w:val="clear" w:color="auto" w:fill="auto"/>
                  <w:noWrap/>
                  <w:vAlign w:val="bottom"/>
                  <w:hideMark/>
                </w:tcPr>
                <w:p w14:paraId="0567A233" w14:textId="77777777" w:rsidR="00EB2F5E" w:rsidRPr="00734D9B" w:rsidRDefault="00EB2F5E" w:rsidP="00EB2F5E">
                  <w:pPr>
                    <w:rPr>
                      <w:rFonts w:eastAsia="Times New Roman" w:cs="Arial"/>
                      <w:color w:val="000000"/>
                      <w:sz w:val="20"/>
                      <w:szCs w:val="20"/>
                      <w:lang w:val="en-GB" w:eastAsia="en-GB"/>
                    </w:rPr>
                  </w:pPr>
                  <w:r w:rsidRPr="00734D9B">
                    <w:rPr>
                      <w:rFonts w:eastAsia="Times New Roman" w:cs="Arial"/>
                      <w:color w:val="000000"/>
                      <w:sz w:val="20"/>
                      <w:szCs w:val="20"/>
                      <w:lang w:val="en-GB" w:eastAsia="en-GB"/>
                    </w:rPr>
                    <w:t>% of resolutions voted</w:t>
                  </w:r>
                </w:p>
              </w:tc>
              <w:tc>
                <w:tcPr>
                  <w:tcW w:w="3243" w:type="dxa"/>
                  <w:tcBorders>
                    <w:left w:val="nil"/>
                    <w:bottom w:val="nil"/>
                    <w:right w:val="nil"/>
                  </w:tcBorders>
                  <w:vAlign w:val="bottom"/>
                </w:tcPr>
                <w:p w14:paraId="73C627CF" w14:textId="0BED478B" w:rsidR="00EB2F5E" w:rsidRPr="00F927DC" w:rsidRDefault="00EB2F5E" w:rsidP="00EB2F5E">
                  <w:pPr>
                    <w:jc w:val="center"/>
                    <w:rPr>
                      <w:rFonts w:eastAsia="Times New Roman" w:cs="Arial"/>
                      <w:color w:val="000000"/>
                      <w:sz w:val="20"/>
                      <w:szCs w:val="20"/>
                      <w:lang w:val="en-GB" w:eastAsia="en-GB"/>
                    </w:rPr>
                  </w:pPr>
                  <w:r>
                    <w:rPr>
                      <w:rFonts w:eastAsia="Times New Roman" w:cs="Arial"/>
                      <w:sz w:val="20"/>
                      <w:szCs w:val="20"/>
                      <w:lang w:val="en-GB" w:eastAsia="en-GB"/>
                    </w:rPr>
                    <w:t>100</w:t>
                  </w:r>
                  <w:r w:rsidRPr="00930105">
                    <w:rPr>
                      <w:rFonts w:eastAsia="Times New Roman" w:cs="Arial"/>
                      <w:sz w:val="20"/>
                      <w:szCs w:val="20"/>
                      <w:lang w:val="en-GB" w:eastAsia="en-GB"/>
                    </w:rPr>
                    <w:t>%</w:t>
                  </w:r>
                </w:p>
              </w:tc>
            </w:tr>
            <w:tr w:rsidR="00EB2F5E" w:rsidRPr="00734D9B" w14:paraId="12FBF21D" w14:textId="77777777" w:rsidTr="00023C3F">
              <w:trPr>
                <w:trHeight w:val="255"/>
              </w:trPr>
              <w:tc>
                <w:tcPr>
                  <w:tcW w:w="5000" w:type="dxa"/>
                  <w:tcBorders>
                    <w:top w:val="nil"/>
                    <w:left w:val="nil"/>
                    <w:bottom w:val="nil"/>
                    <w:right w:val="nil"/>
                  </w:tcBorders>
                  <w:shd w:val="clear" w:color="auto" w:fill="auto"/>
                  <w:noWrap/>
                  <w:vAlign w:val="bottom"/>
                  <w:hideMark/>
                </w:tcPr>
                <w:p w14:paraId="4DB34BAE" w14:textId="77777777" w:rsidR="00EB2F5E" w:rsidRPr="00734D9B" w:rsidRDefault="00EB2F5E" w:rsidP="00EB2F5E">
                  <w:pPr>
                    <w:rPr>
                      <w:rFonts w:eastAsia="Times New Roman" w:cs="Arial"/>
                      <w:color w:val="000000"/>
                      <w:sz w:val="20"/>
                      <w:szCs w:val="20"/>
                      <w:lang w:val="en-GB" w:eastAsia="en-GB"/>
                    </w:rPr>
                  </w:pPr>
                  <w:r w:rsidRPr="00734D9B">
                    <w:rPr>
                      <w:rFonts w:eastAsia="Times New Roman" w:cs="Arial"/>
                      <w:color w:val="000000"/>
                      <w:sz w:val="20"/>
                      <w:szCs w:val="20"/>
                      <w:lang w:val="en-GB" w:eastAsia="en-GB"/>
                    </w:rPr>
                    <w:t>% of resolutions voted against management</w:t>
                  </w:r>
                </w:p>
              </w:tc>
              <w:tc>
                <w:tcPr>
                  <w:tcW w:w="3243" w:type="dxa"/>
                  <w:tcBorders>
                    <w:top w:val="nil"/>
                    <w:left w:val="nil"/>
                    <w:bottom w:val="nil"/>
                    <w:right w:val="nil"/>
                  </w:tcBorders>
                  <w:vAlign w:val="bottom"/>
                </w:tcPr>
                <w:p w14:paraId="726B21C8" w14:textId="73F9ADF0" w:rsidR="00EB2F5E" w:rsidRDefault="00EB2F5E" w:rsidP="00EB2F5E">
                  <w:pPr>
                    <w:jc w:val="center"/>
                    <w:rPr>
                      <w:rFonts w:eastAsia="Times New Roman" w:cs="Arial"/>
                      <w:color w:val="000000"/>
                      <w:sz w:val="20"/>
                      <w:szCs w:val="20"/>
                      <w:lang w:val="en-GB" w:eastAsia="en-GB"/>
                    </w:rPr>
                  </w:pPr>
                  <w:r>
                    <w:rPr>
                      <w:rFonts w:eastAsia="Times New Roman" w:cs="Arial"/>
                      <w:sz w:val="20"/>
                      <w:szCs w:val="20"/>
                      <w:lang w:val="en-GB" w:eastAsia="en-GB"/>
                    </w:rPr>
                    <w:t>11</w:t>
                  </w:r>
                  <w:r w:rsidRPr="00930105">
                    <w:rPr>
                      <w:rFonts w:eastAsia="Times New Roman" w:cs="Arial"/>
                      <w:sz w:val="20"/>
                      <w:szCs w:val="20"/>
                      <w:lang w:val="en-GB" w:eastAsia="en-GB"/>
                    </w:rPr>
                    <w:t>%</w:t>
                  </w:r>
                </w:p>
              </w:tc>
            </w:tr>
            <w:tr w:rsidR="00EB2F5E" w:rsidRPr="00734D9B" w14:paraId="4ADFA8A6" w14:textId="77777777" w:rsidTr="00023C3F">
              <w:trPr>
                <w:trHeight w:val="255"/>
              </w:trPr>
              <w:tc>
                <w:tcPr>
                  <w:tcW w:w="5000" w:type="dxa"/>
                  <w:tcBorders>
                    <w:top w:val="nil"/>
                    <w:left w:val="nil"/>
                    <w:bottom w:val="nil"/>
                    <w:right w:val="nil"/>
                  </w:tcBorders>
                  <w:shd w:val="clear" w:color="auto" w:fill="auto"/>
                  <w:noWrap/>
                  <w:vAlign w:val="bottom"/>
                  <w:hideMark/>
                </w:tcPr>
                <w:p w14:paraId="66841122" w14:textId="77777777" w:rsidR="00EB2F5E" w:rsidRPr="00734D9B" w:rsidRDefault="00EB2F5E" w:rsidP="00EB2F5E">
                  <w:pPr>
                    <w:rPr>
                      <w:rFonts w:eastAsia="Times New Roman" w:cs="Arial"/>
                      <w:color w:val="000000"/>
                      <w:sz w:val="20"/>
                      <w:szCs w:val="20"/>
                      <w:lang w:val="en-GB" w:eastAsia="en-GB"/>
                    </w:rPr>
                  </w:pPr>
                  <w:r w:rsidRPr="00734D9B">
                    <w:rPr>
                      <w:rFonts w:eastAsia="Times New Roman" w:cs="Arial"/>
                      <w:color w:val="000000"/>
                      <w:sz w:val="20"/>
                      <w:szCs w:val="20"/>
                      <w:lang w:val="en-GB" w:eastAsia="en-GB"/>
                    </w:rPr>
                    <w:t xml:space="preserve">% of resolutions abstained </w:t>
                  </w:r>
                </w:p>
              </w:tc>
              <w:tc>
                <w:tcPr>
                  <w:tcW w:w="3243" w:type="dxa"/>
                  <w:tcBorders>
                    <w:top w:val="nil"/>
                    <w:left w:val="nil"/>
                    <w:bottom w:val="nil"/>
                    <w:right w:val="nil"/>
                  </w:tcBorders>
                  <w:vAlign w:val="bottom"/>
                </w:tcPr>
                <w:p w14:paraId="739233F1" w14:textId="3465FFB3" w:rsidR="00EB2F5E" w:rsidRDefault="00EB2F5E" w:rsidP="00EB2F5E">
                  <w:pPr>
                    <w:jc w:val="center"/>
                    <w:rPr>
                      <w:rFonts w:eastAsia="Times New Roman" w:cs="Arial"/>
                      <w:color w:val="000000"/>
                      <w:sz w:val="20"/>
                      <w:szCs w:val="20"/>
                      <w:lang w:val="en-GB" w:eastAsia="en-GB"/>
                    </w:rPr>
                  </w:pPr>
                  <w:r>
                    <w:rPr>
                      <w:rFonts w:eastAsia="Times New Roman" w:cs="Arial"/>
                      <w:sz w:val="20"/>
                      <w:szCs w:val="20"/>
                      <w:lang w:val="en-GB" w:eastAsia="en-GB"/>
                    </w:rPr>
                    <w:t>0</w:t>
                  </w:r>
                  <w:r w:rsidRPr="00930105">
                    <w:rPr>
                      <w:rFonts w:eastAsia="Times New Roman" w:cs="Arial"/>
                      <w:sz w:val="20"/>
                      <w:szCs w:val="20"/>
                      <w:lang w:val="en-GB" w:eastAsia="en-GB"/>
                    </w:rPr>
                    <w:t>%</w:t>
                  </w:r>
                </w:p>
              </w:tc>
            </w:tr>
            <w:tr w:rsidR="00F34C85" w:rsidRPr="00734D9B" w14:paraId="3916915A" w14:textId="77777777" w:rsidTr="00023C3F">
              <w:trPr>
                <w:trHeight w:val="255"/>
              </w:trPr>
              <w:tc>
                <w:tcPr>
                  <w:tcW w:w="5000" w:type="dxa"/>
                  <w:tcBorders>
                    <w:top w:val="nil"/>
                    <w:left w:val="nil"/>
                    <w:bottom w:val="nil"/>
                    <w:right w:val="nil"/>
                  </w:tcBorders>
                  <w:shd w:val="clear" w:color="auto" w:fill="auto"/>
                  <w:noWrap/>
                  <w:vAlign w:val="bottom"/>
                </w:tcPr>
                <w:p w14:paraId="0C5463F7" w14:textId="77777777" w:rsidR="00F34C85" w:rsidRPr="00734D9B" w:rsidRDefault="00F34C85" w:rsidP="00F34C85">
                  <w:pPr>
                    <w:rPr>
                      <w:rFonts w:eastAsia="Times New Roman" w:cs="Arial"/>
                      <w:color w:val="000000"/>
                      <w:sz w:val="20"/>
                      <w:szCs w:val="20"/>
                      <w:lang w:val="en-GB" w:eastAsia="en-GB"/>
                    </w:rPr>
                  </w:pPr>
                </w:p>
              </w:tc>
              <w:tc>
                <w:tcPr>
                  <w:tcW w:w="3243" w:type="dxa"/>
                  <w:tcBorders>
                    <w:top w:val="nil"/>
                    <w:left w:val="nil"/>
                    <w:bottom w:val="nil"/>
                    <w:right w:val="nil"/>
                  </w:tcBorders>
                  <w:vAlign w:val="bottom"/>
                </w:tcPr>
                <w:p w14:paraId="1C8BC523" w14:textId="66B294C4" w:rsidR="00F34C85" w:rsidRDefault="00F34C85" w:rsidP="00F34C85">
                  <w:pPr>
                    <w:jc w:val="center"/>
                    <w:rPr>
                      <w:rFonts w:eastAsia="Times New Roman" w:cs="Arial"/>
                      <w:sz w:val="20"/>
                      <w:szCs w:val="20"/>
                      <w:lang w:val="en-GB" w:eastAsia="en-GB"/>
                    </w:rPr>
                  </w:pPr>
                </w:p>
              </w:tc>
            </w:tr>
          </w:tbl>
          <w:p w14:paraId="0155CB24" w14:textId="77777777" w:rsidR="00B925AE" w:rsidRPr="00CF3513" w:rsidRDefault="00B925AE" w:rsidP="00FE5EF6">
            <w:pPr>
              <w:rPr>
                <w:rFonts w:cs="Calibri"/>
                <w:iCs/>
                <w:sz w:val="20"/>
                <w:szCs w:val="20"/>
              </w:rPr>
            </w:pPr>
          </w:p>
        </w:tc>
      </w:tr>
    </w:tbl>
    <w:p w14:paraId="7E483C81" w14:textId="750D1DB0" w:rsidR="00877E81" w:rsidRDefault="00877E81" w:rsidP="00877E81">
      <w:pPr>
        <w:spacing w:after="120"/>
        <w:rPr>
          <w:b/>
          <w:bCs/>
          <w:sz w:val="20"/>
          <w:szCs w:val="20"/>
          <w:lang w:val="en-GB"/>
        </w:rPr>
      </w:pPr>
    </w:p>
    <w:p w14:paraId="6AE6C005" w14:textId="77777777" w:rsidR="00115C60" w:rsidRDefault="00115C60" w:rsidP="00877E81">
      <w:pPr>
        <w:spacing w:after="120"/>
        <w:rPr>
          <w:b/>
          <w:bCs/>
          <w:sz w:val="20"/>
          <w:szCs w:val="20"/>
          <w:lang w:val="en-GB"/>
        </w:rPr>
      </w:pPr>
    </w:p>
    <w:p w14:paraId="3446221E" w14:textId="77777777" w:rsidR="00877E81" w:rsidRPr="00A8404A" w:rsidRDefault="00877E81" w:rsidP="00877E81">
      <w:pPr>
        <w:pStyle w:val="BLKCoverDate"/>
        <w:numPr>
          <w:ilvl w:val="0"/>
          <w:numId w:val="5"/>
        </w:numPr>
        <w:rPr>
          <w:rFonts w:asciiTheme="minorHAnsi" w:hAnsiTheme="minorHAnsi"/>
          <w:b/>
          <w:bCs/>
          <w:color w:val="FF4713" w:themeColor="accent1"/>
        </w:rPr>
      </w:pPr>
      <w:r w:rsidRPr="00A8404A">
        <w:rPr>
          <w:rFonts w:asciiTheme="minorHAnsi" w:hAnsiTheme="minorHAnsi"/>
          <w:b/>
          <w:bCs/>
          <w:color w:val="FF4713" w:themeColor="accent1"/>
        </w:rPr>
        <w:t>Concluding remarks</w:t>
      </w:r>
    </w:p>
    <w:p w14:paraId="0197991E" w14:textId="480F53B0" w:rsidR="00877E81" w:rsidRPr="007F7182" w:rsidRDefault="00877E81" w:rsidP="00877E81">
      <w:pPr>
        <w:pStyle w:val="BLKCoverDate"/>
        <w:ind w:left="360"/>
        <w:rPr>
          <w:rFonts w:asciiTheme="minorHAnsi" w:hAnsiTheme="minorHAnsi" w:cs="Calibri"/>
          <w:lang w:val="en-GB"/>
        </w:rPr>
      </w:pPr>
      <w:r w:rsidRPr="004E061D">
        <w:rPr>
          <w:rFonts w:asciiTheme="minorHAnsi" w:hAnsiTheme="minorHAnsi" w:cs="Calibri"/>
          <w:lang w:val="en-GB"/>
        </w:rPr>
        <w:t xml:space="preserve">The </w:t>
      </w:r>
      <w:r>
        <w:rPr>
          <w:rFonts w:asciiTheme="minorHAnsi" w:hAnsiTheme="minorHAnsi" w:cs="Calibri"/>
          <w:lang w:val="en-GB"/>
        </w:rPr>
        <w:t>Trustee is</w:t>
      </w:r>
      <w:r w:rsidRPr="004E061D">
        <w:rPr>
          <w:rFonts w:asciiTheme="minorHAnsi" w:hAnsiTheme="minorHAnsi" w:cs="Calibri"/>
          <w:lang w:val="en-GB"/>
        </w:rPr>
        <w:t xml:space="preserve"> comfortable that the policies in the SIP have been followed over the year to </w:t>
      </w:r>
      <w:r w:rsidR="00AE45E0">
        <w:rPr>
          <w:rFonts w:asciiTheme="minorHAnsi" w:hAnsiTheme="minorHAnsi" w:cs="Calibri"/>
          <w:lang w:val="en-GB"/>
        </w:rPr>
        <w:t>5 April 202</w:t>
      </w:r>
      <w:r w:rsidR="005C2FE6">
        <w:rPr>
          <w:rFonts w:asciiTheme="minorHAnsi" w:hAnsiTheme="minorHAnsi" w:cs="Calibri"/>
          <w:lang w:val="en-GB"/>
        </w:rPr>
        <w:t>4</w:t>
      </w:r>
      <w:r w:rsidRPr="004E061D">
        <w:rPr>
          <w:rFonts w:asciiTheme="minorHAnsi" w:hAnsiTheme="minorHAnsi" w:cs="Calibri"/>
          <w:lang w:val="en-GB"/>
        </w:rPr>
        <w:t>.</w:t>
      </w:r>
      <w:r w:rsidRPr="004E061D">
        <w:rPr>
          <w:rFonts w:cs="Calibri"/>
          <w:color w:val="000000"/>
          <w:lang w:val="en-GB"/>
        </w:rPr>
        <w:t xml:space="preserve"> </w:t>
      </w:r>
      <w:r w:rsidR="002E2BF1">
        <w:rPr>
          <w:rFonts w:cs="Calibri"/>
          <w:color w:val="000000"/>
          <w:lang w:val="en-GB"/>
        </w:rPr>
        <w:t>The Trustee</w:t>
      </w:r>
      <w:r w:rsidR="002E2BF1" w:rsidRPr="004E061D">
        <w:rPr>
          <w:rFonts w:cs="Calibri"/>
          <w:color w:val="000000"/>
          <w:lang w:val="en-GB"/>
        </w:rPr>
        <w:t xml:space="preserve"> expect</w:t>
      </w:r>
      <w:r w:rsidR="002E2BF1">
        <w:rPr>
          <w:rFonts w:cs="Calibri"/>
          <w:color w:val="000000"/>
          <w:lang w:val="en-GB"/>
        </w:rPr>
        <w:t>s</w:t>
      </w:r>
      <w:r w:rsidR="002E2BF1" w:rsidRPr="004E061D">
        <w:rPr>
          <w:rFonts w:cs="Calibri"/>
          <w:color w:val="000000"/>
          <w:lang w:val="en-GB"/>
        </w:rPr>
        <w:t xml:space="preserve"> that the format and content </w:t>
      </w:r>
      <w:r w:rsidR="002E2BF1">
        <w:rPr>
          <w:rFonts w:cs="Calibri"/>
          <w:color w:val="000000"/>
          <w:lang w:val="en-GB"/>
        </w:rPr>
        <w:t xml:space="preserve">of this Statement </w:t>
      </w:r>
      <w:r w:rsidR="002E2BF1" w:rsidRPr="004E061D">
        <w:rPr>
          <w:rFonts w:cs="Calibri"/>
          <w:color w:val="000000"/>
          <w:lang w:val="en-GB"/>
        </w:rPr>
        <w:t xml:space="preserve">will evolve over time, in line with guidance and to reflect any future changes in the SIP. </w:t>
      </w:r>
    </w:p>
    <w:p w14:paraId="4ED6F5AA" w14:textId="77777777" w:rsidR="00877E81" w:rsidRDefault="00877E81" w:rsidP="00877E81">
      <w:pPr>
        <w:pStyle w:val="BLKCoverDate"/>
        <w:ind w:left="360"/>
        <w:rPr>
          <w:rFonts w:asciiTheme="minorHAnsi" w:hAnsiTheme="minorHAnsi" w:cs="Calibri"/>
          <w:lang w:val="en-GB"/>
        </w:rPr>
      </w:pPr>
      <w:r>
        <w:rPr>
          <w:rFonts w:asciiTheme="minorHAnsi" w:hAnsiTheme="minorHAnsi" w:cs="Calibri"/>
          <w:lang w:val="en-GB"/>
        </w:rPr>
        <w:t xml:space="preserve">The Trustee recognises the responsibility that institutional investors have or promote high standards of investment stewardship and will continue to use the influence associated with the Scheme’s assets in order to positively influence the Scheme’s investment managers. </w:t>
      </w:r>
    </w:p>
    <w:p w14:paraId="279B4773" w14:textId="77777777" w:rsidR="00877E81" w:rsidRPr="00A9128B" w:rsidRDefault="00877E81" w:rsidP="00877E81">
      <w:pPr>
        <w:rPr>
          <w:rFonts w:eastAsia="Times New Roman"/>
          <w:color w:val="000000" w:themeColor="text1"/>
          <w:sz w:val="20"/>
          <w:szCs w:val="20"/>
        </w:rPr>
      </w:pPr>
    </w:p>
    <w:p w14:paraId="0581B38E" w14:textId="6A1064E9" w:rsidR="002C4D3F" w:rsidRPr="00A9128B" w:rsidRDefault="002C4D3F" w:rsidP="00877E81">
      <w:pPr>
        <w:pStyle w:val="BLKCoverDate"/>
        <w:spacing w:before="240"/>
        <w:ind w:left="360"/>
      </w:pPr>
    </w:p>
    <w:sectPr w:rsidR="002C4D3F" w:rsidRPr="00A9128B" w:rsidSect="00F339A3">
      <w:headerReference w:type="default" r:id="rId9"/>
      <w:footerReference w:type="default" r:id="rId10"/>
      <w:headerReference w:type="first" r:id="rId11"/>
      <w:pgSz w:w="11906" w:h="16838" w:code="9"/>
      <w:pgMar w:top="720" w:right="720" w:bottom="1440" w:left="72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FC0C0" w14:textId="77777777" w:rsidR="00017203" w:rsidRDefault="00017203">
      <w:r>
        <w:separator/>
      </w:r>
    </w:p>
  </w:endnote>
  <w:endnote w:type="continuationSeparator" w:id="0">
    <w:p w14:paraId="2A9275EF" w14:textId="77777777" w:rsidR="00017203" w:rsidRDefault="00017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K Fort">
    <w:altName w:val="Cambria"/>
    <w:charset w:val="00"/>
    <w:family w:val="swiss"/>
    <w:pitch w:val="variable"/>
    <w:sig w:usb0="00000007" w:usb1="10000001" w:usb2="00000000" w:usb3="00000000" w:csb0="00000093" w:csb1="00000000"/>
    <w:embedRegular r:id="rId1" w:fontKey="{4CFF762D-CDAB-4FD1-87FF-37BCD581357A}"/>
    <w:embedBold r:id="rId2" w:fontKey="{A4C21A2A-AD20-4F01-9250-F063E2A2C301}"/>
    <w:embedItalic r:id="rId3" w:fontKey="{4CB05F29-CA18-4050-B760-255E85438918}"/>
  </w:font>
  <w:font w:name="Calibri">
    <w:panose1 w:val="020F0502020204030204"/>
    <w:charset w:val="00"/>
    <w:family w:val="swiss"/>
    <w:pitch w:val="variable"/>
    <w:sig w:usb0="E4002EFF" w:usb1="C000247B" w:usb2="00000009" w:usb3="00000000" w:csb0="000001FF" w:csb1="00000000"/>
    <w:embedRegular r:id="rId4" w:fontKey="{EF97DC24-6CBB-4E19-A741-56673F2D3C09}"/>
    <w:embedBold r:id="rId5" w:fontKey="{09F66DDF-FF78-44BF-B793-D96184D8C870}"/>
    <w:embedItalic r:id="rId6" w:fontKey="{2BB1C163-7C0F-4CB4-869A-2504B6312AF1}"/>
  </w:font>
  <w:font w:name="Trebuchet MS">
    <w:panose1 w:val="020B0603020202020204"/>
    <w:charset w:val="00"/>
    <w:family w:val="swiss"/>
    <w:pitch w:val="variable"/>
    <w:sig w:usb0="00000687" w:usb1="00000000" w:usb2="00000000" w:usb3="00000000" w:csb0="0000009F" w:csb1="00000000"/>
    <w:embedRegular r:id="rId7" w:fontKey="{3BED9C23-EB12-4027-A07D-2542B2D2A337}"/>
  </w:font>
  <w:font w:name="BLK Fort Extrabold">
    <w:altName w:val="Cambria"/>
    <w:charset w:val="00"/>
    <w:family w:val="swiss"/>
    <w:pitch w:val="variable"/>
    <w:sig w:usb0="00000007" w:usb1="10000001" w:usb2="00000000" w:usb3="00000000" w:csb0="00000093" w:csb1="00000000"/>
    <w:embedRegular r:id="rId8" w:fontKey="{B6D61099-B1D9-47CA-8FC7-D3A9A9B4C4BC}"/>
  </w:font>
  <w:font w:name="Segoe UI">
    <w:panose1 w:val="020B0502040204020203"/>
    <w:charset w:val="00"/>
    <w:family w:val="swiss"/>
    <w:pitch w:val="variable"/>
    <w:sig w:usb0="E4002EFF" w:usb1="C000E47F" w:usb2="00000009" w:usb3="00000000" w:csb0="000001FF" w:csb1="00000000"/>
    <w:embedRegular r:id="rId9" w:fontKey="{1F9D379E-7F9E-4C55-A715-6722645E013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077653"/>
      <w:docPartObj>
        <w:docPartGallery w:val="Page Numbers (Bottom of Page)"/>
        <w:docPartUnique/>
      </w:docPartObj>
    </w:sdtPr>
    <w:sdtEndPr>
      <w:rPr>
        <w:noProof/>
      </w:rPr>
    </w:sdtEndPr>
    <w:sdtContent>
      <w:p w14:paraId="4E78385E" w14:textId="1B340F6F" w:rsidR="00E31405" w:rsidRDefault="00E314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54100E" w14:textId="77777777" w:rsidR="00E31405" w:rsidRDefault="00E31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F6A5B" w14:textId="77777777" w:rsidR="00017203" w:rsidRDefault="00017203">
      <w:r>
        <w:separator/>
      </w:r>
    </w:p>
  </w:footnote>
  <w:footnote w:type="continuationSeparator" w:id="0">
    <w:p w14:paraId="565B7B74" w14:textId="77777777" w:rsidR="00017203" w:rsidRDefault="00017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6F82F" w14:textId="2F801CE8" w:rsidR="00992F93" w:rsidRDefault="00992F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1B8AD" w14:textId="77777777" w:rsidR="00C71C9A" w:rsidRDefault="00C71C9A">
    <w:pPr>
      <w:pStyle w:val="Header"/>
    </w:pPr>
    <w:r>
      <w:rPr>
        <w:noProof/>
      </w:rPr>
      <w:drawing>
        <wp:anchor distT="0" distB="0" distL="114300" distR="114300" simplePos="0" relativeHeight="251657216" behindDoc="0" locked="0" layoutInCell="1" allowOverlap="1" wp14:anchorId="51B00480" wp14:editId="68A97FDC">
          <wp:simplePos x="0" y="0"/>
          <wp:positionH relativeFrom="column">
            <wp:posOffset>-289864</wp:posOffset>
          </wp:positionH>
          <wp:positionV relativeFrom="paragraph">
            <wp:posOffset>810840</wp:posOffset>
          </wp:positionV>
          <wp:extent cx="2753846" cy="9064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3846" cy="90644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DAE0A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4422B4"/>
    <w:multiLevelType w:val="hybridMultilevel"/>
    <w:tmpl w:val="380A33D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06FB7A59"/>
    <w:multiLevelType w:val="hybridMultilevel"/>
    <w:tmpl w:val="0ABA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01BBC"/>
    <w:multiLevelType w:val="multilevel"/>
    <w:tmpl w:val="5C6AA90A"/>
    <w:lvl w:ilvl="0">
      <w:start w:val="5"/>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 w15:restartNumberingAfterBreak="0">
    <w:nsid w:val="088E5BC8"/>
    <w:multiLevelType w:val="hybridMultilevel"/>
    <w:tmpl w:val="8B7CB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A6171"/>
    <w:multiLevelType w:val="hybridMultilevel"/>
    <w:tmpl w:val="9D763A90"/>
    <w:lvl w:ilvl="0" w:tplc="2662C06A">
      <w:start w:val="1"/>
      <w:numFmt w:val="bullet"/>
      <w:pStyle w:val="BulletedText"/>
      <w:lvlText w:val=""/>
      <w:lvlJc w:val="left"/>
      <w:pPr>
        <w:tabs>
          <w:tab w:val="num" w:pos="180"/>
        </w:tabs>
        <w:ind w:left="180" w:hanging="180"/>
      </w:pPr>
      <w:rPr>
        <w:rFonts w:ascii="Symbol" w:hAnsi="Symbol" w:hint="default"/>
        <w:strike w:val="0"/>
        <w:dstrike w:val="0"/>
        <w:color w:val="255282"/>
        <w:sz w:val="18"/>
      </w:rPr>
    </w:lvl>
    <w:lvl w:ilvl="1" w:tplc="53988646" w:tentative="1">
      <w:start w:val="1"/>
      <w:numFmt w:val="bullet"/>
      <w:lvlText w:val="o"/>
      <w:lvlJc w:val="left"/>
      <w:pPr>
        <w:tabs>
          <w:tab w:val="num" w:pos="1440"/>
        </w:tabs>
        <w:ind w:left="1440" w:hanging="360"/>
      </w:pPr>
      <w:rPr>
        <w:rFonts w:ascii="Courier New" w:hAnsi="Courier New" w:hint="default"/>
      </w:rPr>
    </w:lvl>
    <w:lvl w:ilvl="2" w:tplc="8B085CFE" w:tentative="1">
      <w:start w:val="1"/>
      <w:numFmt w:val="bullet"/>
      <w:lvlText w:val=""/>
      <w:lvlJc w:val="left"/>
      <w:pPr>
        <w:tabs>
          <w:tab w:val="num" w:pos="2160"/>
        </w:tabs>
        <w:ind w:left="2160" w:hanging="360"/>
      </w:pPr>
      <w:rPr>
        <w:rFonts w:ascii="Wingdings" w:hAnsi="Wingdings" w:hint="default"/>
      </w:rPr>
    </w:lvl>
    <w:lvl w:ilvl="3" w:tplc="FEA00D40" w:tentative="1">
      <w:start w:val="1"/>
      <w:numFmt w:val="bullet"/>
      <w:lvlText w:val=""/>
      <w:lvlJc w:val="left"/>
      <w:pPr>
        <w:tabs>
          <w:tab w:val="num" w:pos="2880"/>
        </w:tabs>
        <w:ind w:left="2880" w:hanging="360"/>
      </w:pPr>
      <w:rPr>
        <w:rFonts w:ascii="Symbol" w:hAnsi="Symbol" w:hint="default"/>
      </w:rPr>
    </w:lvl>
    <w:lvl w:ilvl="4" w:tplc="BFFA5ACC" w:tentative="1">
      <w:start w:val="1"/>
      <w:numFmt w:val="bullet"/>
      <w:lvlText w:val="o"/>
      <w:lvlJc w:val="left"/>
      <w:pPr>
        <w:tabs>
          <w:tab w:val="num" w:pos="3600"/>
        </w:tabs>
        <w:ind w:left="3600" w:hanging="360"/>
      </w:pPr>
      <w:rPr>
        <w:rFonts w:ascii="Courier New" w:hAnsi="Courier New" w:hint="default"/>
      </w:rPr>
    </w:lvl>
    <w:lvl w:ilvl="5" w:tplc="C5EC9F3C" w:tentative="1">
      <w:start w:val="1"/>
      <w:numFmt w:val="bullet"/>
      <w:lvlText w:val=""/>
      <w:lvlJc w:val="left"/>
      <w:pPr>
        <w:tabs>
          <w:tab w:val="num" w:pos="4320"/>
        </w:tabs>
        <w:ind w:left="4320" w:hanging="360"/>
      </w:pPr>
      <w:rPr>
        <w:rFonts w:ascii="Wingdings" w:hAnsi="Wingdings" w:hint="default"/>
      </w:rPr>
    </w:lvl>
    <w:lvl w:ilvl="6" w:tplc="42C04B3A" w:tentative="1">
      <w:start w:val="1"/>
      <w:numFmt w:val="bullet"/>
      <w:lvlText w:val=""/>
      <w:lvlJc w:val="left"/>
      <w:pPr>
        <w:tabs>
          <w:tab w:val="num" w:pos="5040"/>
        </w:tabs>
        <w:ind w:left="5040" w:hanging="360"/>
      </w:pPr>
      <w:rPr>
        <w:rFonts w:ascii="Symbol" w:hAnsi="Symbol" w:hint="default"/>
      </w:rPr>
    </w:lvl>
    <w:lvl w:ilvl="7" w:tplc="4CD05916" w:tentative="1">
      <w:start w:val="1"/>
      <w:numFmt w:val="bullet"/>
      <w:lvlText w:val="o"/>
      <w:lvlJc w:val="left"/>
      <w:pPr>
        <w:tabs>
          <w:tab w:val="num" w:pos="5760"/>
        </w:tabs>
        <w:ind w:left="5760" w:hanging="360"/>
      </w:pPr>
      <w:rPr>
        <w:rFonts w:ascii="Courier New" w:hAnsi="Courier New" w:hint="default"/>
      </w:rPr>
    </w:lvl>
    <w:lvl w:ilvl="8" w:tplc="265E6F3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916E40"/>
    <w:multiLevelType w:val="multilevel"/>
    <w:tmpl w:val="2A346814"/>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2475DBD"/>
    <w:multiLevelType w:val="multilevel"/>
    <w:tmpl w:val="B9EE4FF4"/>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B1B1E72"/>
    <w:multiLevelType w:val="hybridMultilevel"/>
    <w:tmpl w:val="54826BBE"/>
    <w:lvl w:ilvl="0" w:tplc="881AC1EE">
      <w:start w:val="8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7C27C5"/>
    <w:multiLevelType w:val="hybridMultilevel"/>
    <w:tmpl w:val="C79E72E6"/>
    <w:lvl w:ilvl="0" w:tplc="95882898">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D7C5AFA"/>
    <w:multiLevelType w:val="hybridMultilevel"/>
    <w:tmpl w:val="D9287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E132F0"/>
    <w:multiLevelType w:val="hybridMultilevel"/>
    <w:tmpl w:val="9892957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2149C1"/>
    <w:multiLevelType w:val="hybridMultilevel"/>
    <w:tmpl w:val="4E208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7430D5"/>
    <w:multiLevelType w:val="hybridMultilevel"/>
    <w:tmpl w:val="D1B001F8"/>
    <w:lvl w:ilvl="0" w:tplc="94C00BA4">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0457BF"/>
    <w:multiLevelType w:val="hybridMultilevel"/>
    <w:tmpl w:val="1E1C8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D031A"/>
    <w:multiLevelType w:val="multilevel"/>
    <w:tmpl w:val="617667F0"/>
    <w:lvl w:ilvl="0">
      <w:start w:val="7"/>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77115F5"/>
    <w:multiLevelType w:val="hybridMultilevel"/>
    <w:tmpl w:val="D5DE330A"/>
    <w:lvl w:ilvl="0" w:tplc="7804963E">
      <w:start w:val="1"/>
      <w:numFmt w:val="decimal"/>
      <w:lvlText w:val="%1."/>
      <w:lvlJc w:val="left"/>
      <w:pPr>
        <w:ind w:left="360" w:hanging="360"/>
      </w:pPr>
      <w:rPr>
        <w:rFonts w:hint="default"/>
        <w:b/>
        <w:bCs/>
        <w:color w:val="FF4713" w:themeColor="accent1"/>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7C53303"/>
    <w:multiLevelType w:val="hybridMultilevel"/>
    <w:tmpl w:val="156AF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262476"/>
    <w:multiLevelType w:val="multilevel"/>
    <w:tmpl w:val="32AE8DBA"/>
    <w:lvl w:ilvl="0">
      <w:start w:val="6"/>
      <w:numFmt w:val="decimal"/>
      <w:lvlText w:val="%1."/>
      <w:lvlJc w:val="left"/>
      <w:pPr>
        <w:ind w:left="720" w:hanging="360"/>
      </w:pPr>
      <w:rPr>
        <w:rFonts w:hint="default"/>
      </w:rPr>
    </w:lvl>
    <w:lvl w:ilvl="1">
      <w:start w:val="1"/>
      <w:numFmt w:val="decimal"/>
      <w:isLgl/>
      <w:lvlText w:val="9.%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53710FF"/>
    <w:multiLevelType w:val="multilevel"/>
    <w:tmpl w:val="11C2AC6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bullet"/>
      <w:lvlText w:val=""/>
      <w:lvlJc w:val="left"/>
      <w:pPr>
        <w:ind w:left="1224" w:hanging="504"/>
      </w:pPr>
      <w:rPr>
        <w:rFonts w:ascii="Symbol" w:hAnsi="Symbol" w:hint="default"/>
        <w:b w:val="0"/>
      </w:r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912189"/>
    <w:multiLevelType w:val="hybridMultilevel"/>
    <w:tmpl w:val="AE741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4837EF"/>
    <w:multiLevelType w:val="hybridMultilevel"/>
    <w:tmpl w:val="34AE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129EC"/>
    <w:multiLevelType w:val="hybridMultilevel"/>
    <w:tmpl w:val="A31C1AF8"/>
    <w:lvl w:ilvl="0" w:tplc="97DC6D26">
      <w:start w:val="6"/>
      <w:numFmt w:val="bullet"/>
      <w:lvlText w:val="-"/>
      <w:lvlJc w:val="left"/>
      <w:pPr>
        <w:ind w:left="1080" w:hanging="360"/>
      </w:pPr>
      <w:rPr>
        <w:rFonts w:ascii="BLK Fort" w:eastAsia="Times New Roman" w:hAnsi="BLK For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B035D39"/>
    <w:multiLevelType w:val="multilevel"/>
    <w:tmpl w:val="CF7A25A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B841003"/>
    <w:multiLevelType w:val="multilevel"/>
    <w:tmpl w:val="EA64AF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CFB4C14"/>
    <w:multiLevelType w:val="hybridMultilevel"/>
    <w:tmpl w:val="9E189C94"/>
    <w:lvl w:ilvl="0" w:tplc="AC966B2A">
      <w:start w:val="5"/>
      <w:numFmt w:val="bullet"/>
      <w:lvlText w:val="-"/>
      <w:lvlJc w:val="left"/>
      <w:pPr>
        <w:ind w:left="786" w:hanging="360"/>
      </w:pPr>
      <w:rPr>
        <w:rFonts w:ascii="BLK Fort" w:eastAsia="Times New Roman" w:hAnsi="BLK Fort"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15:restartNumberingAfterBreak="0">
    <w:nsid w:val="5EE36E64"/>
    <w:multiLevelType w:val="hybridMultilevel"/>
    <w:tmpl w:val="688E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D77BED"/>
    <w:multiLevelType w:val="multilevel"/>
    <w:tmpl w:val="C4D010AA"/>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28" w15:restartNumberingAfterBreak="0">
    <w:nsid w:val="602C4740"/>
    <w:multiLevelType w:val="hybridMultilevel"/>
    <w:tmpl w:val="6D58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DA3B05"/>
    <w:multiLevelType w:val="hybridMultilevel"/>
    <w:tmpl w:val="A5B21116"/>
    <w:lvl w:ilvl="0" w:tplc="651C4872">
      <w:start w:val="4"/>
      <w:numFmt w:val="bullet"/>
      <w:lvlText w:val="-"/>
      <w:lvlJc w:val="left"/>
      <w:pPr>
        <w:ind w:left="720" w:hanging="360"/>
      </w:pPr>
      <w:rPr>
        <w:rFonts w:ascii="BLK Fort" w:eastAsia="Times New Roman" w:hAnsi="BLK For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3F389C"/>
    <w:multiLevelType w:val="multilevel"/>
    <w:tmpl w:val="EBA25130"/>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642A630B"/>
    <w:multiLevelType w:val="multilevel"/>
    <w:tmpl w:val="D9AE95DE"/>
    <w:lvl w:ilvl="0">
      <w:start w:val="8"/>
      <w:numFmt w:val="decimal"/>
      <w:lvlText w:val="%1"/>
      <w:lvlJc w:val="left"/>
      <w:pPr>
        <w:ind w:left="720" w:hanging="360"/>
      </w:pPr>
      <w:rPr>
        <w:rFonts w:hint="default"/>
      </w:rPr>
    </w:lvl>
    <w:lvl w:ilvl="1">
      <w:start w:val="1"/>
      <w:numFmt w:val="decimal"/>
      <w:lvlText w:val="%1.%2"/>
      <w:lvlJc w:val="left"/>
      <w:pPr>
        <w:ind w:left="1470" w:hanging="36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55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10" w:hanging="1800"/>
      </w:pPr>
      <w:rPr>
        <w:rFonts w:hint="default"/>
      </w:rPr>
    </w:lvl>
    <w:lvl w:ilvl="8">
      <w:start w:val="1"/>
      <w:numFmt w:val="decimal"/>
      <w:lvlText w:val="%1.%2.%3.%4.%5.%6.%7.%8.%9"/>
      <w:lvlJc w:val="left"/>
      <w:pPr>
        <w:ind w:left="8160" w:hanging="1800"/>
      </w:pPr>
      <w:rPr>
        <w:rFonts w:hint="default"/>
      </w:rPr>
    </w:lvl>
  </w:abstractNum>
  <w:abstractNum w:abstractNumId="32" w15:restartNumberingAfterBreak="0">
    <w:nsid w:val="680E1E45"/>
    <w:multiLevelType w:val="multilevel"/>
    <w:tmpl w:val="C87A6EF2"/>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6AB90A08"/>
    <w:multiLevelType w:val="hybridMultilevel"/>
    <w:tmpl w:val="C3FC4554"/>
    <w:lvl w:ilvl="0" w:tplc="03F634D8">
      <w:start w:val="1"/>
      <w:numFmt w:val="bullet"/>
      <w:pStyle w:val="BlueBullets"/>
      <w:lvlText w:val=""/>
      <w:lvlJc w:val="left"/>
      <w:pPr>
        <w:tabs>
          <w:tab w:val="num" w:pos="180"/>
        </w:tabs>
        <w:ind w:left="180" w:hanging="180"/>
      </w:pPr>
      <w:rPr>
        <w:rFonts w:ascii="Symbol" w:hAnsi="Symbol" w:hint="default"/>
        <w:strike w:val="0"/>
        <w:dstrike w:val="0"/>
        <w:color w:val="5F9BCF"/>
        <w:sz w:val="18"/>
      </w:rPr>
    </w:lvl>
    <w:lvl w:ilvl="1" w:tplc="9AA8CFD0" w:tentative="1">
      <w:start w:val="1"/>
      <w:numFmt w:val="bullet"/>
      <w:lvlText w:val="o"/>
      <w:lvlJc w:val="left"/>
      <w:pPr>
        <w:tabs>
          <w:tab w:val="num" w:pos="1440"/>
        </w:tabs>
        <w:ind w:left="1440" w:hanging="360"/>
      </w:pPr>
      <w:rPr>
        <w:rFonts w:ascii="Courier New" w:hAnsi="Courier New" w:hint="default"/>
      </w:rPr>
    </w:lvl>
    <w:lvl w:ilvl="2" w:tplc="0204911A" w:tentative="1">
      <w:start w:val="1"/>
      <w:numFmt w:val="bullet"/>
      <w:lvlText w:val=""/>
      <w:lvlJc w:val="left"/>
      <w:pPr>
        <w:tabs>
          <w:tab w:val="num" w:pos="2160"/>
        </w:tabs>
        <w:ind w:left="2160" w:hanging="360"/>
      </w:pPr>
      <w:rPr>
        <w:rFonts w:ascii="Wingdings" w:hAnsi="Wingdings" w:hint="default"/>
      </w:rPr>
    </w:lvl>
    <w:lvl w:ilvl="3" w:tplc="4058D496" w:tentative="1">
      <w:start w:val="1"/>
      <w:numFmt w:val="bullet"/>
      <w:lvlText w:val=""/>
      <w:lvlJc w:val="left"/>
      <w:pPr>
        <w:tabs>
          <w:tab w:val="num" w:pos="2880"/>
        </w:tabs>
        <w:ind w:left="2880" w:hanging="360"/>
      </w:pPr>
      <w:rPr>
        <w:rFonts w:ascii="Symbol" w:hAnsi="Symbol" w:hint="default"/>
      </w:rPr>
    </w:lvl>
    <w:lvl w:ilvl="4" w:tplc="4086B234" w:tentative="1">
      <w:start w:val="1"/>
      <w:numFmt w:val="bullet"/>
      <w:lvlText w:val="o"/>
      <w:lvlJc w:val="left"/>
      <w:pPr>
        <w:tabs>
          <w:tab w:val="num" w:pos="3600"/>
        </w:tabs>
        <w:ind w:left="3600" w:hanging="360"/>
      </w:pPr>
      <w:rPr>
        <w:rFonts w:ascii="Courier New" w:hAnsi="Courier New" w:hint="default"/>
      </w:rPr>
    </w:lvl>
    <w:lvl w:ilvl="5" w:tplc="050C00B2" w:tentative="1">
      <w:start w:val="1"/>
      <w:numFmt w:val="bullet"/>
      <w:lvlText w:val=""/>
      <w:lvlJc w:val="left"/>
      <w:pPr>
        <w:tabs>
          <w:tab w:val="num" w:pos="4320"/>
        </w:tabs>
        <w:ind w:left="4320" w:hanging="360"/>
      </w:pPr>
      <w:rPr>
        <w:rFonts w:ascii="Wingdings" w:hAnsi="Wingdings" w:hint="default"/>
      </w:rPr>
    </w:lvl>
    <w:lvl w:ilvl="6" w:tplc="0CC06D5E" w:tentative="1">
      <w:start w:val="1"/>
      <w:numFmt w:val="bullet"/>
      <w:lvlText w:val=""/>
      <w:lvlJc w:val="left"/>
      <w:pPr>
        <w:tabs>
          <w:tab w:val="num" w:pos="5040"/>
        </w:tabs>
        <w:ind w:left="5040" w:hanging="360"/>
      </w:pPr>
      <w:rPr>
        <w:rFonts w:ascii="Symbol" w:hAnsi="Symbol" w:hint="default"/>
      </w:rPr>
    </w:lvl>
    <w:lvl w:ilvl="7" w:tplc="2FA66970" w:tentative="1">
      <w:start w:val="1"/>
      <w:numFmt w:val="bullet"/>
      <w:lvlText w:val="o"/>
      <w:lvlJc w:val="left"/>
      <w:pPr>
        <w:tabs>
          <w:tab w:val="num" w:pos="5760"/>
        </w:tabs>
        <w:ind w:left="5760" w:hanging="360"/>
      </w:pPr>
      <w:rPr>
        <w:rFonts w:ascii="Courier New" w:hAnsi="Courier New" w:hint="default"/>
      </w:rPr>
    </w:lvl>
    <w:lvl w:ilvl="8" w:tplc="7A5C8D9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8413BF"/>
    <w:multiLevelType w:val="hybridMultilevel"/>
    <w:tmpl w:val="989ABE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3A7225F"/>
    <w:multiLevelType w:val="hybridMultilevel"/>
    <w:tmpl w:val="DAD26CA8"/>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C159CB"/>
    <w:multiLevelType w:val="hybridMultilevel"/>
    <w:tmpl w:val="0E8A1B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D3A5C04"/>
    <w:multiLevelType w:val="multilevel"/>
    <w:tmpl w:val="CF7A25A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E9D2AB3"/>
    <w:multiLevelType w:val="multilevel"/>
    <w:tmpl w:val="BBB4772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190068442">
    <w:abstractNumId w:val="33"/>
  </w:num>
  <w:num w:numId="2" w16cid:durableId="738331658">
    <w:abstractNumId w:val="5"/>
  </w:num>
  <w:num w:numId="3" w16cid:durableId="1663703158">
    <w:abstractNumId w:val="0"/>
  </w:num>
  <w:num w:numId="4" w16cid:durableId="784270259">
    <w:abstractNumId w:val="21"/>
  </w:num>
  <w:num w:numId="5" w16cid:durableId="1410730141">
    <w:abstractNumId w:val="16"/>
  </w:num>
  <w:num w:numId="6" w16cid:durableId="699090081">
    <w:abstractNumId w:val="26"/>
  </w:num>
  <w:num w:numId="7" w16cid:durableId="752898168">
    <w:abstractNumId w:val="17"/>
  </w:num>
  <w:num w:numId="8" w16cid:durableId="1548491061">
    <w:abstractNumId w:val="4"/>
  </w:num>
  <w:num w:numId="9" w16cid:durableId="2051371186">
    <w:abstractNumId w:val="19"/>
  </w:num>
  <w:num w:numId="10" w16cid:durableId="1405032534">
    <w:abstractNumId w:val="15"/>
  </w:num>
  <w:num w:numId="11" w16cid:durableId="829559957">
    <w:abstractNumId w:val="11"/>
  </w:num>
  <w:num w:numId="12" w16cid:durableId="1929462520">
    <w:abstractNumId w:val="29"/>
  </w:num>
  <w:num w:numId="13" w16cid:durableId="1887569764">
    <w:abstractNumId w:val="28"/>
  </w:num>
  <w:num w:numId="14" w16cid:durableId="1490098404">
    <w:abstractNumId w:val="1"/>
  </w:num>
  <w:num w:numId="15" w16cid:durableId="1784569503">
    <w:abstractNumId w:val="18"/>
  </w:num>
  <w:num w:numId="16" w16cid:durableId="355346253">
    <w:abstractNumId w:val="13"/>
  </w:num>
  <w:num w:numId="17" w16cid:durableId="431783411">
    <w:abstractNumId w:val="8"/>
  </w:num>
  <w:num w:numId="18" w16cid:durableId="1597329124">
    <w:abstractNumId w:val="27"/>
  </w:num>
  <w:num w:numId="19" w16cid:durableId="1660890394">
    <w:abstractNumId w:val="36"/>
  </w:num>
  <w:num w:numId="20" w16cid:durableId="1483497873">
    <w:abstractNumId w:val="31"/>
  </w:num>
  <w:num w:numId="21" w16cid:durableId="1425833105">
    <w:abstractNumId w:val="38"/>
  </w:num>
  <w:num w:numId="22" w16cid:durableId="331881386">
    <w:abstractNumId w:val="32"/>
  </w:num>
  <w:num w:numId="23" w16cid:durableId="650713889">
    <w:abstractNumId w:val="7"/>
  </w:num>
  <w:num w:numId="24" w16cid:durableId="1036809970">
    <w:abstractNumId w:val="25"/>
  </w:num>
  <w:num w:numId="25" w16cid:durableId="351538660">
    <w:abstractNumId w:val="20"/>
  </w:num>
  <w:num w:numId="26" w16cid:durableId="1857426126">
    <w:abstractNumId w:val="9"/>
  </w:num>
  <w:num w:numId="27" w16cid:durableId="1843005438">
    <w:abstractNumId w:val="23"/>
  </w:num>
  <w:num w:numId="28" w16cid:durableId="1785534605">
    <w:abstractNumId w:val="3"/>
  </w:num>
  <w:num w:numId="29" w16cid:durableId="189540060">
    <w:abstractNumId w:val="37"/>
  </w:num>
  <w:num w:numId="30" w16cid:durableId="47344585">
    <w:abstractNumId w:val="24"/>
  </w:num>
  <w:num w:numId="31" w16cid:durableId="1675374199">
    <w:abstractNumId w:val="22"/>
  </w:num>
  <w:num w:numId="32" w16cid:durableId="836072886">
    <w:abstractNumId w:val="34"/>
  </w:num>
  <w:num w:numId="33" w16cid:durableId="306446702">
    <w:abstractNumId w:val="6"/>
  </w:num>
  <w:num w:numId="34" w16cid:durableId="1201239807">
    <w:abstractNumId w:val="35"/>
  </w:num>
  <w:num w:numId="35" w16cid:durableId="84234326">
    <w:abstractNumId w:val="30"/>
  </w:num>
  <w:num w:numId="36" w16cid:durableId="521476516">
    <w:abstractNumId w:val="14"/>
  </w:num>
  <w:num w:numId="37" w16cid:durableId="1541821693">
    <w:abstractNumId w:val="10"/>
  </w:num>
  <w:num w:numId="38" w16cid:durableId="360127297">
    <w:abstractNumId w:val="2"/>
  </w:num>
  <w:num w:numId="39" w16cid:durableId="7261018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532"/>
    <w:rsid w:val="00002A3D"/>
    <w:rsid w:val="00017203"/>
    <w:rsid w:val="00041330"/>
    <w:rsid w:val="00043DC7"/>
    <w:rsid w:val="00052835"/>
    <w:rsid w:val="00054197"/>
    <w:rsid w:val="00054EE2"/>
    <w:rsid w:val="000602A1"/>
    <w:rsid w:val="00067759"/>
    <w:rsid w:val="00095ED0"/>
    <w:rsid w:val="000B4F62"/>
    <w:rsid w:val="000D7B65"/>
    <w:rsid w:val="000F12A1"/>
    <w:rsid w:val="000F75CE"/>
    <w:rsid w:val="001010BA"/>
    <w:rsid w:val="00114BFD"/>
    <w:rsid w:val="00115C60"/>
    <w:rsid w:val="00117AEE"/>
    <w:rsid w:val="00124AB5"/>
    <w:rsid w:val="00125DCF"/>
    <w:rsid w:val="00127F2A"/>
    <w:rsid w:val="001321D5"/>
    <w:rsid w:val="001557BF"/>
    <w:rsid w:val="001A7AF1"/>
    <w:rsid w:val="001B0C11"/>
    <w:rsid w:val="001B1F46"/>
    <w:rsid w:val="001C72A9"/>
    <w:rsid w:val="001D5D43"/>
    <w:rsid w:val="00200912"/>
    <w:rsid w:val="00211AEE"/>
    <w:rsid w:val="00212515"/>
    <w:rsid w:val="0021461D"/>
    <w:rsid w:val="00247E50"/>
    <w:rsid w:val="00254979"/>
    <w:rsid w:val="00256C43"/>
    <w:rsid w:val="00274792"/>
    <w:rsid w:val="002817D9"/>
    <w:rsid w:val="002926A6"/>
    <w:rsid w:val="002956A5"/>
    <w:rsid w:val="002A1A7D"/>
    <w:rsid w:val="002A62A2"/>
    <w:rsid w:val="002B301F"/>
    <w:rsid w:val="002B61DD"/>
    <w:rsid w:val="002C4D3F"/>
    <w:rsid w:val="002C79B3"/>
    <w:rsid w:val="002E2BF1"/>
    <w:rsid w:val="0031035B"/>
    <w:rsid w:val="003203F2"/>
    <w:rsid w:val="0032489B"/>
    <w:rsid w:val="00333CF0"/>
    <w:rsid w:val="003349FC"/>
    <w:rsid w:val="00341E73"/>
    <w:rsid w:val="00355183"/>
    <w:rsid w:val="003650D6"/>
    <w:rsid w:val="003653D0"/>
    <w:rsid w:val="00392AD6"/>
    <w:rsid w:val="00394F30"/>
    <w:rsid w:val="003B2C6B"/>
    <w:rsid w:val="003D0529"/>
    <w:rsid w:val="003D44D7"/>
    <w:rsid w:val="003E454D"/>
    <w:rsid w:val="003E4F90"/>
    <w:rsid w:val="00403910"/>
    <w:rsid w:val="0040770B"/>
    <w:rsid w:val="004458A8"/>
    <w:rsid w:val="00451F3D"/>
    <w:rsid w:val="004539E4"/>
    <w:rsid w:val="00457A24"/>
    <w:rsid w:val="00480434"/>
    <w:rsid w:val="00492E2F"/>
    <w:rsid w:val="00493998"/>
    <w:rsid w:val="00496C9F"/>
    <w:rsid w:val="004A2E6B"/>
    <w:rsid w:val="004C0872"/>
    <w:rsid w:val="004C2CEB"/>
    <w:rsid w:val="004C53FA"/>
    <w:rsid w:val="004D30E1"/>
    <w:rsid w:val="004D375A"/>
    <w:rsid w:val="004E061D"/>
    <w:rsid w:val="004E0AE2"/>
    <w:rsid w:val="004E39D5"/>
    <w:rsid w:val="004E520A"/>
    <w:rsid w:val="00516157"/>
    <w:rsid w:val="00521696"/>
    <w:rsid w:val="00533308"/>
    <w:rsid w:val="00573526"/>
    <w:rsid w:val="00576D3B"/>
    <w:rsid w:val="00576F3D"/>
    <w:rsid w:val="005874D6"/>
    <w:rsid w:val="00587D6D"/>
    <w:rsid w:val="005945CE"/>
    <w:rsid w:val="005C2BDA"/>
    <w:rsid w:val="005C2FE6"/>
    <w:rsid w:val="005F1265"/>
    <w:rsid w:val="005F1610"/>
    <w:rsid w:val="005F3D8A"/>
    <w:rsid w:val="00600B3D"/>
    <w:rsid w:val="00600FDC"/>
    <w:rsid w:val="0060743B"/>
    <w:rsid w:val="006121FA"/>
    <w:rsid w:val="0061417C"/>
    <w:rsid w:val="00615EF3"/>
    <w:rsid w:val="00625922"/>
    <w:rsid w:val="00667C4B"/>
    <w:rsid w:val="00667CEF"/>
    <w:rsid w:val="0068705D"/>
    <w:rsid w:val="00687F20"/>
    <w:rsid w:val="00690971"/>
    <w:rsid w:val="00692AF4"/>
    <w:rsid w:val="006A2D28"/>
    <w:rsid w:val="006B1A32"/>
    <w:rsid w:val="006C1A9A"/>
    <w:rsid w:val="006F3677"/>
    <w:rsid w:val="00702335"/>
    <w:rsid w:val="007215BA"/>
    <w:rsid w:val="00734D9B"/>
    <w:rsid w:val="00735ECA"/>
    <w:rsid w:val="00746FB1"/>
    <w:rsid w:val="0079260A"/>
    <w:rsid w:val="0079594A"/>
    <w:rsid w:val="007A12BB"/>
    <w:rsid w:val="007A76E1"/>
    <w:rsid w:val="007B62B4"/>
    <w:rsid w:val="007C2326"/>
    <w:rsid w:val="007C3960"/>
    <w:rsid w:val="007D06B0"/>
    <w:rsid w:val="007D3079"/>
    <w:rsid w:val="007D47CE"/>
    <w:rsid w:val="007D68A6"/>
    <w:rsid w:val="007E3CEC"/>
    <w:rsid w:val="007F7182"/>
    <w:rsid w:val="00801F9B"/>
    <w:rsid w:val="00824261"/>
    <w:rsid w:val="00826DDB"/>
    <w:rsid w:val="008403E8"/>
    <w:rsid w:val="008615BF"/>
    <w:rsid w:val="00867B9C"/>
    <w:rsid w:val="00874BAA"/>
    <w:rsid w:val="00877E81"/>
    <w:rsid w:val="00880532"/>
    <w:rsid w:val="00883A0C"/>
    <w:rsid w:val="008870F5"/>
    <w:rsid w:val="008B2FA0"/>
    <w:rsid w:val="008B5C80"/>
    <w:rsid w:val="008C582A"/>
    <w:rsid w:val="008E1385"/>
    <w:rsid w:val="008E52EF"/>
    <w:rsid w:val="008F0FFF"/>
    <w:rsid w:val="009122BD"/>
    <w:rsid w:val="00935661"/>
    <w:rsid w:val="00946E26"/>
    <w:rsid w:val="009561E8"/>
    <w:rsid w:val="00956DD4"/>
    <w:rsid w:val="00970266"/>
    <w:rsid w:val="00982853"/>
    <w:rsid w:val="00992C0C"/>
    <w:rsid w:val="00992F93"/>
    <w:rsid w:val="00996096"/>
    <w:rsid w:val="009A13AB"/>
    <w:rsid w:val="009A1687"/>
    <w:rsid w:val="009B1010"/>
    <w:rsid w:val="009E65C7"/>
    <w:rsid w:val="009E7174"/>
    <w:rsid w:val="009F1D9D"/>
    <w:rsid w:val="00A00F08"/>
    <w:rsid w:val="00A02198"/>
    <w:rsid w:val="00A17E6D"/>
    <w:rsid w:val="00A31F03"/>
    <w:rsid w:val="00A340DC"/>
    <w:rsid w:val="00A362C4"/>
    <w:rsid w:val="00A37688"/>
    <w:rsid w:val="00A76C36"/>
    <w:rsid w:val="00A83F92"/>
    <w:rsid w:val="00A8404A"/>
    <w:rsid w:val="00A9128B"/>
    <w:rsid w:val="00AA01DC"/>
    <w:rsid w:val="00AC18C7"/>
    <w:rsid w:val="00AC7ADF"/>
    <w:rsid w:val="00AD1D46"/>
    <w:rsid w:val="00AE3456"/>
    <w:rsid w:val="00AE45E0"/>
    <w:rsid w:val="00AE7C27"/>
    <w:rsid w:val="00AF13C6"/>
    <w:rsid w:val="00AF3E85"/>
    <w:rsid w:val="00B02F4B"/>
    <w:rsid w:val="00B14BEA"/>
    <w:rsid w:val="00B17DF0"/>
    <w:rsid w:val="00B205E8"/>
    <w:rsid w:val="00B42F5B"/>
    <w:rsid w:val="00B542BD"/>
    <w:rsid w:val="00B65BCD"/>
    <w:rsid w:val="00B925AE"/>
    <w:rsid w:val="00B97D76"/>
    <w:rsid w:val="00BB5A90"/>
    <w:rsid w:val="00BC4C73"/>
    <w:rsid w:val="00BF33F7"/>
    <w:rsid w:val="00BF4B14"/>
    <w:rsid w:val="00C0030B"/>
    <w:rsid w:val="00C264E7"/>
    <w:rsid w:val="00C27C4B"/>
    <w:rsid w:val="00C45418"/>
    <w:rsid w:val="00C71C9A"/>
    <w:rsid w:val="00C74E36"/>
    <w:rsid w:val="00C7766D"/>
    <w:rsid w:val="00C804E5"/>
    <w:rsid w:val="00C818E8"/>
    <w:rsid w:val="00CA5161"/>
    <w:rsid w:val="00CA5FEF"/>
    <w:rsid w:val="00CB67B2"/>
    <w:rsid w:val="00CC7166"/>
    <w:rsid w:val="00CD43DF"/>
    <w:rsid w:val="00CF3513"/>
    <w:rsid w:val="00D107C5"/>
    <w:rsid w:val="00D11C0C"/>
    <w:rsid w:val="00D26F1F"/>
    <w:rsid w:val="00D37C44"/>
    <w:rsid w:val="00D41D8B"/>
    <w:rsid w:val="00D42267"/>
    <w:rsid w:val="00D43FD9"/>
    <w:rsid w:val="00D52E1F"/>
    <w:rsid w:val="00D741A0"/>
    <w:rsid w:val="00D81A15"/>
    <w:rsid w:val="00DB06B4"/>
    <w:rsid w:val="00DB14E0"/>
    <w:rsid w:val="00DB160B"/>
    <w:rsid w:val="00DB3F4F"/>
    <w:rsid w:val="00DD1F8C"/>
    <w:rsid w:val="00DD6525"/>
    <w:rsid w:val="00DE73D2"/>
    <w:rsid w:val="00E22EE0"/>
    <w:rsid w:val="00E23D16"/>
    <w:rsid w:val="00E31405"/>
    <w:rsid w:val="00E35586"/>
    <w:rsid w:val="00E418C5"/>
    <w:rsid w:val="00E60B07"/>
    <w:rsid w:val="00E630DA"/>
    <w:rsid w:val="00E670B9"/>
    <w:rsid w:val="00E75D49"/>
    <w:rsid w:val="00E82A60"/>
    <w:rsid w:val="00E83AA5"/>
    <w:rsid w:val="00EA1AD7"/>
    <w:rsid w:val="00EA3444"/>
    <w:rsid w:val="00EB2F5E"/>
    <w:rsid w:val="00ED127A"/>
    <w:rsid w:val="00EF0031"/>
    <w:rsid w:val="00EF38BC"/>
    <w:rsid w:val="00F17711"/>
    <w:rsid w:val="00F26483"/>
    <w:rsid w:val="00F339A3"/>
    <w:rsid w:val="00F34C85"/>
    <w:rsid w:val="00F455C8"/>
    <w:rsid w:val="00F74DBC"/>
    <w:rsid w:val="00F83340"/>
    <w:rsid w:val="00F86228"/>
    <w:rsid w:val="00F927DC"/>
    <w:rsid w:val="00FB1DF2"/>
    <w:rsid w:val="00FF2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89D90B"/>
  <w15:chartTrackingRefBased/>
  <w15:docId w15:val="{121CC523-462C-4E65-8375-3F518473E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1"/>
        <w:szCs w:val="21"/>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6284"/>
      </w:tabs>
      <w:spacing w:line="240" w:lineRule="exact"/>
      <w:outlineLvl w:val="0"/>
    </w:pPr>
    <w:rPr>
      <w:b/>
      <w:sz w:val="28"/>
      <w:szCs w:val="20"/>
    </w:rPr>
  </w:style>
  <w:style w:type="paragraph" w:styleId="Heading2">
    <w:name w:val="heading 2"/>
    <w:basedOn w:val="Normal"/>
    <w:next w:val="Normal"/>
    <w:qFormat/>
    <w:pPr>
      <w:keepNext/>
      <w:tabs>
        <w:tab w:val="left" w:pos="6284"/>
      </w:tabs>
      <w:spacing w:before="100" w:line="220" w:lineRule="exact"/>
      <w:outlineLvl w:val="1"/>
    </w:pPr>
    <w:rPr>
      <w:b/>
      <w:noProof/>
      <w:szCs w:val="20"/>
    </w:rPr>
  </w:style>
  <w:style w:type="paragraph" w:styleId="Heading3">
    <w:name w:val="heading 3"/>
    <w:basedOn w:val="Normal"/>
    <w:next w:val="Normal"/>
    <w:qFormat/>
    <w:pPr>
      <w:keepNext/>
      <w:tabs>
        <w:tab w:val="left" w:pos="6284"/>
      </w:tabs>
      <w:spacing w:after="120"/>
      <w:outlineLvl w:val="2"/>
    </w:pPr>
    <w:rPr>
      <w:b/>
      <w:noProof/>
      <w:color w:val="000000"/>
      <w:sz w:val="16"/>
      <w:szCs w:val="20"/>
    </w:rPr>
  </w:style>
  <w:style w:type="paragraph" w:styleId="Heading4">
    <w:name w:val="heading 4"/>
    <w:basedOn w:val="Normal"/>
    <w:next w:val="Normal"/>
    <w:qFormat/>
    <w:pPr>
      <w:keepNext/>
      <w:tabs>
        <w:tab w:val="left" w:pos="6284"/>
      </w:tabs>
      <w:spacing w:after="120"/>
      <w:jc w:val="right"/>
      <w:outlineLvl w:val="3"/>
    </w:pPr>
    <w:rPr>
      <w:b/>
      <w:noProof/>
      <w:color w:val="000000"/>
      <w:sz w:val="16"/>
      <w:szCs w:val="20"/>
    </w:rPr>
  </w:style>
  <w:style w:type="paragraph" w:styleId="Heading5">
    <w:name w:val="heading 5"/>
    <w:basedOn w:val="Normal"/>
    <w:next w:val="Normal"/>
    <w:qFormat/>
    <w:pPr>
      <w:keepNext/>
      <w:outlineLvl w:val="4"/>
    </w:pPr>
    <w:rPr>
      <w:color w:val="5F9BCF"/>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pPr>
      <w:spacing w:after="110" w:line="220" w:lineRule="exact"/>
      <w:jc w:val="both"/>
    </w:pPr>
    <w:rPr>
      <w:sz w:val="18"/>
      <w:szCs w:val="20"/>
    </w:rPr>
  </w:style>
  <w:style w:type="paragraph" w:customStyle="1" w:styleId="Address">
    <w:name w:val="Address"/>
    <w:basedOn w:val="BodyCopy"/>
    <w:pPr>
      <w:tabs>
        <w:tab w:val="left" w:pos="2880"/>
      </w:tabs>
      <w:jc w:val="left"/>
    </w:pPr>
  </w:style>
  <w:style w:type="paragraph" w:customStyle="1" w:styleId="BlueBullets">
    <w:name w:val="Blue Bullets"/>
    <w:basedOn w:val="Normal"/>
    <w:pPr>
      <w:numPr>
        <w:numId w:val="1"/>
      </w:numPr>
      <w:tabs>
        <w:tab w:val="left" w:pos="6284"/>
      </w:tabs>
      <w:spacing w:before="100" w:line="220" w:lineRule="exact"/>
    </w:pPr>
    <w:rPr>
      <w:noProof/>
      <w:color w:val="5F9BCF"/>
      <w:sz w:val="18"/>
      <w:szCs w:val="20"/>
    </w:rPr>
  </w:style>
  <w:style w:type="character" w:customStyle="1" w:styleId="BulletHighlight">
    <w:name w:val="Bullet Highlight"/>
    <w:basedOn w:val="DefaultParagraphFont"/>
    <w:rPr>
      <w:rFonts w:ascii="Trebuchet MS" w:hAnsi="Trebuchet MS"/>
      <w:color w:val="5F9BCF"/>
      <w:sz w:val="18"/>
    </w:rPr>
  </w:style>
  <w:style w:type="paragraph" w:customStyle="1" w:styleId="BulletedText">
    <w:name w:val="Bulleted Text"/>
    <w:basedOn w:val="Normal"/>
    <w:pPr>
      <w:numPr>
        <w:numId w:val="2"/>
      </w:numPr>
      <w:tabs>
        <w:tab w:val="left" w:pos="6284"/>
      </w:tabs>
      <w:spacing w:before="100" w:line="220" w:lineRule="exact"/>
    </w:pPr>
    <w:rPr>
      <w:noProof/>
      <w:sz w:val="18"/>
      <w:szCs w:val="20"/>
    </w:rPr>
  </w:style>
  <w:style w:type="paragraph" w:customStyle="1" w:styleId="ChartHeadline">
    <w:name w:val="Chart Headline"/>
    <w:basedOn w:val="Normal"/>
    <w:autoRedefine/>
    <w:rPr>
      <w:color w:val="FFFFFF"/>
      <w:sz w:val="18"/>
      <w:szCs w:val="20"/>
    </w:rPr>
  </w:style>
  <w:style w:type="paragraph" w:styleId="Footer">
    <w:name w:val="footer"/>
    <w:basedOn w:val="Normal"/>
    <w:link w:val="FooterChar"/>
    <w:uiPriority w:val="99"/>
    <w:pPr>
      <w:tabs>
        <w:tab w:val="center" w:pos="4320"/>
        <w:tab w:val="right" w:pos="8640"/>
      </w:tabs>
    </w:pPr>
    <w:rPr>
      <w:szCs w:val="20"/>
    </w:rPr>
  </w:style>
  <w:style w:type="paragraph" w:styleId="Header">
    <w:name w:val="header"/>
    <w:basedOn w:val="Normal"/>
    <w:pPr>
      <w:tabs>
        <w:tab w:val="center" w:pos="4320"/>
        <w:tab w:val="right" w:pos="8640"/>
      </w:tabs>
    </w:pPr>
    <w:rPr>
      <w:szCs w:val="20"/>
    </w:rPr>
  </w:style>
  <w:style w:type="paragraph" w:styleId="ListBullet">
    <w:name w:val="List Bullet"/>
    <w:basedOn w:val="Normal"/>
    <w:autoRedefine/>
    <w:rPr>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tblPr>
      <w:tblStyleRowBandSize w:val="1"/>
      <w:tblStyleColBandSize w:val="1"/>
      <w:tblBorders>
        <w:top w:val="single" w:sz="2" w:space="0" w:color="BCA0D6" w:themeColor="accent5" w:themeTint="99"/>
        <w:bottom w:val="single" w:sz="2" w:space="0" w:color="BCA0D6" w:themeColor="accent5" w:themeTint="99"/>
        <w:insideH w:val="single" w:sz="2" w:space="0" w:color="BCA0D6" w:themeColor="accent5" w:themeTint="99"/>
        <w:insideV w:val="single" w:sz="2" w:space="0" w:color="BCA0D6" w:themeColor="accent5" w:themeTint="99"/>
      </w:tblBorders>
    </w:tblPr>
    <w:tblStylePr w:type="firstRow">
      <w:rPr>
        <w:b/>
        <w:bCs/>
      </w:rPr>
      <w:tblPr/>
      <w:tcPr>
        <w:tcBorders>
          <w:top w:val="nil"/>
          <w:bottom w:val="single" w:sz="12" w:space="0" w:color="BCA0D6" w:themeColor="accent5" w:themeTint="99"/>
          <w:insideH w:val="nil"/>
          <w:insideV w:val="nil"/>
        </w:tcBorders>
        <w:shd w:val="clear" w:color="auto" w:fill="FFFFFF" w:themeFill="background1"/>
      </w:tcPr>
    </w:tblStylePr>
    <w:tblStylePr w:type="lastRow">
      <w:rPr>
        <w:b/>
        <w:bCs/>
      </w:rPr>
      <w:tblPr/>
      <w:tcPr>
        <w:tcBorders>
          <w:top w:val="double" w:sz="2" w:space="0" w:color="BCA0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DFF1" w:themeFill="accent5" w:themeFillTint="33"/>
      </w:tcPr>
    </w:tblStylePr>
    <w:tblStylePr w:type="band1Horz">
      <w:tblPr/>
      <w:tcPr>
        <w:shd w:val="clear" w:color="auto" w:fill="E8DFF1" w:themeFill="accent5" w:themeFillTint="33"/>
      </w:tcPr>
    </w:tblStylePr>
  </w:style>
  <w:style w:type="paragraph" w:styleId="ListParagraph">
    <w:name w:val="List Paragraph"/>
    <w:basedOn w:val="Normal"/>
    <w:link w:val="ListParagraphChar"/>
    <w:uiPriority w:val="34"/>
    <w:qFormat/>
    <w:pPr>
      <w:ind w:left="720"/>
      <w:contextualSpacing/>
    </w:pPr>
  </w:style>
  <w:style w:type="paragraph" w:customStyle="1" w:styleId="BLKCoverTitle">
    <w:name w:val="BLK Cover Title"/>
    <w:basedOn w:val="Normal"/>
    <w:next w:val="BLKCoverSubtitle"/>
    <w:uiPriority w:val="1"/>
    <w:qFormat/>
    <w:rsid w:val="00880532"/>
    <w:pPr>
      <w:spacing w:before="1920" w:after="360"/>
    </w:pPr>
    <w:rPr>
      <w:rFonts w:ascii="BLK Fort Extrabold" w:eastAsia="Times New Roman" w:hAnsi="BLK Fort Extrabold"/>
      <w:color w:val="FF4713" w:themeColor="accent1"/>
      <w:sz w:val="92"/>
      <w:szCs w:val="36"/>
    </w:rPr>
  </w:style>
  <w:style w:type="paragraph" w:customStyle="1" w:styleId="BLKCoverSubtitle">
    <w:name w:val="BLK Cover Subtitle"/>
    <w:basedOn w:val="Normal"/>
    <w:next w:val="BLKCoverDate"/>
    <w:uiPriority w:val="2"/>
    <w:qFormat/>
    <w:rsid w:val="00880532"/>
    <w:pPr>
      <w:spacing w:after="240"/>
      <w:jc w:val="both"/>
    </w:pPr>
    <w:rPr>
      <w:rFonts w:ascii="BLK Fort" w:eastAsia="Times New Roman" w:hAnsi="BLK Fort"/>
      <w:color w:val="000000" w:themeColor="text1"/>
      <w:sz w:val="32"/>
      <w:szCs w:val="32"/>
    </w:rPr>
  </w:style>
  <w:style w:type="paragraph" w:customStyle="1" w:styleId="BLKCoverDate">
    <w:name w:val="BLK Cover Date"/>
    <w:basedOn w:val="Normal"/>
    <w:uiPriority w:val="3"/>
    <w:qFormat/>
    <w:rsid w:val="00880532"/>
    <w:pPr>
      <w:spacing w:after="240"/>
      <w:jc w:val="both"/>
    </w:pPr>
    <w:rPr>
      <w:rFonts w:ascii="BLK Fort" w:eastAsia="Times New Roman" w:hAnsi="BLK Fort"/>
      <w:color w:val="000000" w:themeColor="text1"/>
      <w:sz w:val="20"/>
      <w:szCs w:val="20"/>
    </w:rPr>
  </w:style>
  <w:style w:type="paragraph" w:styleId="BalloonText">
    <w:name w:val="Balloon Text"/>
    <w:basedOn w:val="Normal"/>
    <w:link w:val="BalloonTextChar"/>
    <w:semiHidden/>
    <w:unhideWhenUsed/>
    <w:rsid w:val="00880532"/>
    <w:rPr>
      <w:rFonts w:ascii="Segoe UI" w:hAnsi="Segoe UI" w:cs="Segoe UI"/>
      <w:sz w:val="18"/>
      <w:szCs w:val="18"/>
    </w:rPr>
  </w:style>
  <w:style w:type="character" w:customStyle="1" w:styleId="BalloonTextChar">
    <w:name w:val="Balloon Text Char"/>
    <w:basedOn w:val="DefaultParagraphFont"/>
    <w:link w:val="BalloonText"/>
    <w:semiHidden/>
    <w:rsid w:val="00880532"/>
    <w:rPr>
      <w:rFonts w:ascii="Segoe UI" w:hAnsi="Segoe UI" w:cs="Segoe UI"/>
      <w:sz w:val="18"/>
      <w:szCs w:val="18"/>
    </w:rPr>
  </w:style>
  <w:style w:type="character" w:styleId="CommentReference">
    <w:name w:val="annotation reference"/>
    <w:basedOn w:val="DefaultParagraphFont"/>
    <w:semiHidden/>
    <w:unhideWhenUsed/>
    <w:rsid w:val="00451F3D"/>
    <w:rPr>
      <w:sz w:val="16"/>
      <w:szCs w:val="16"/>
    </w:rPr>
  </w:style>
  <w:style w:type="paragraph" w:styleId="CommentText">
    <w:name w:val="annotation text"/>
    <w:basedOn w:val="Normal"/>
    <w:link w:val="CommentTextChar"/>
    <w:unhideWhenUsed/>
    <w:rsid w:val="00451F3D"/>
    <w:rPr>
      <w:sz w:val="20"/>
      <w:szCs w:val="20"/>
    </w:rPr>
  </w:style>
  <w:style w:type="character" w:customStyle="1" w:styleId="CommentTextChar">
    <w:name w:val="Comment Text Char"/>
    <w:basedOn w:val="DefaultParagraphFont"/>
    <w:link w:val="CommentText"/>
    <w:rsid w:val="00451F3D"/>
    <w:rPr>
      <w:sz w:val="20"/>
      <w:szCs w:val="20"/>
    </w:rPr>
  </w:style>
  <w:style w:type="paragraph" w:styleId="CommentSubject">
    <w:name w:val="annotation subject"/>
    <w:basedOn w:val="CommentText"/>
    <w:next w:val="CommentText"/>
    <w:link w:val="CommentSubjectChar"/>
    <w:semiHidden/>
    <w:unhideWhenUsed/>
    <w:rsid w:val="00451F3D"/>
    <w:rPr>
      <w:b/>
      <w:bCs/>
    </w:rPr>
  </w:style>
  <w:style w:type="character" w:customStyle="1" w:styleId="CommentSubjectChar">
    <w:name w:val="Comment Subject Char"/>
    <w:basedOn w:val="CommentTextChar"/>
    <w:link w:val="CommentSubject"/>
    <w:semiHidden/>
    <w:rsid w:val="00451F3D"/>
    <w:rPr>
      <w:b/>
      <w:bCs/>
      <w:sz w:val="20"/>
      <w:szCs w:val="20"/>
    </w:rPr>
  </w:style>
  <w:style w:type="paragraph" w:customStyle="1" w:styleId="Default">
    <w:name w:val="Default"/>
    <w:rsid w:val="009561E8"/>
    <w:pPr>
      <w:autoSpaceDE w:val="0"/>
      <w:autoSpaceDN w:val="0"/>
      <w:adjustRightInd w:val="0"/>
    </w:pPr>
    <w:rPr>
      <w:rFonts w:ascii="Calibri" w:hAnsi="Calibri" w:cs="Calibri"/>
      <w:color w:val="000000"/>
      <w:sz w:val="24"/>
      <w:szCs w:val="24"/>
      <w:lang w:val="en-GB"/>
    </w:rPr>
  </w:style>
  <w:style w:type="character" w:customStyle="1" w:styleId="ListParagraphChar">
    <w:name w:val="List Paragraph Char"/>
    <w:link w:val="ListParagraph"/>
    <w:uiPriority w:val="34"/>
    <w:locked/>
    <w:rsid w:val="00F83340"/>
  </w:style>
  <w:style w:type="paragraph" w:customStyle="1" w:styleId="RTC-Normaltext">
    <w:name w:val="RTC - Normal text"/>
    <w:basedOn w:val="Normal"/>
    <w:link w:val="RTC-NormaltextChar"/>
    <w:qFormat/>
    <w:rsid w:val="002A1A7D"/>
    <w:pPr>
      <w:suppressAutoHyphens/>
      <w:spacing w:after="240"/>
    </w:pPr>
    <w:rPr>
      <w:rFonts w:ascii="Arial" w:eastAsia="Times New Roman" w:hAnsi="Arial" w:cs="Arial"/>
      <w:sz w:val="22"/>
      <w:szCs w:val="22"/>
      <w:lang w:val="en-GB" w:eastAsia="en-GB"/>
    </w:rPr>
  </w:style>
  <w:style w:type="character" w:customStyle="1" w:styleId="RTC-NormaltextChar">
    <w:name w:val="RTC - Normal text Char"/>
    <w:basedOn w:val="DefaultParagraphFont"/>
    <w:link w:val="RTC-Normaltext"/>
    <w:rsid w:val="002A1A7D"/>
    <w:rPr>
      <w:rFonts w:ascii="Arial" w:eastAsia="Times New Roman" w:hAnsi="Arial" w:cs="Arial"/>
      <w:sz w:val="22"/>
      <w:szCs w:val="22"/>
      <w:lang w:val="en-GB" w:eastAsia="en-GB"/>
    </w:rPr>
  </w:style>
  <w:style w:type="paragraph" w:styleId="NormalWeb">
    <w:name w:val="Normal (Web)"/>
    <w:basedOn w:val="Normal"/>
    <w:uiPriority w:val="99"/>
    <w:unhideWhenUsed/>
    <w:rsid w:val="004C2CEB"/>
    <w:pPr>
      <w:spacing w:before="100" w:beforeAutospacing="1" w:after="100" w:afterAutospacing="1"/>
    </w:pPr>
    <w:rPr>
      <w:rFonts w:ascii="Times New Roman" w:eastAsiaTheme="minorEastAsia" w:hAnsi="Times New Roman"/>
      <w:sz w:val="24"/>
      <w:szCs w:val="24"/>
      <w:lang w:val="en-GB" w:eastAsia="en-GB"/>
    </w:rPr>
  </w:style>
  <w:style w:type="character" w:styleId="Hyperlink">
    <w:name w:val="Hyperlink"/>
    <w:basedOn w:val="DefaultParagraphFont"/>
    <w:unhideWhenUsed/>
    <w:rsid w:val="00690971"/>
    <w:rPr>
      <w:color w:val="FF4713" w:themeColor="hyperlink"/>
      <w:u w:val="single"/>
    </w:rPr>
  </w:style>
  <w:style w:type="character" w:styleId="UnresolvedMention">
    <w:name w:val="Unresolved Mention"/>
    <w:basedOn w:val="DefaultParagraphFont"/>
    <w:uiPriority w:val="99"/>
    <w:semiHidden/>
    <w:unhideWhenUsed/>
    <w:rsid w:val="00690971"/>
    <w:rPr>
      <w:color w:val="605E5C"/>
      <w:shd w:val="clear" w:color="auto" w:fill="E1DFDD"/>
    </w:rPr>
  </w:style>
  <w:style w:type="character" w:customStyle="1" w:styleId="FooterChar">
    <w:name w:val="Footer Char"/>
    <w:basedOn w:val="DefaultParagraphFont"/>
    <w:link w:val="Footer"/>
    <w:uiPriority w:val="99"/>
    <w:rsid w:val="00E31405"/>
    <w:rPr>
      <w:szCs w:val="20"/>
    </w:rPr>
  </w:style>
  <w:style w:type="paragraph" w:styleId="Revision">
    <w:name w:val="Revision"/>
    <w:hidden/>
    <w:uiPriority w:val="99"/>
    <w:semiHidden/>
    <w:rsid w:val="007B6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5248">
      <w:bodyDiv w:val="1"/>
      <w:marLeft w:val="0"/>
      <w:marRight w:val="0"/>
      <w:marTop w:val="0"/>
      <w:marBottom w:val="0"/>
      <w:divBdr>
        <w:top w:val="none" w:sz="0" w:space="0" w:color="auto"/>
        <w:left w:val="none" w:sz="0" w:space="0" w:color="auto"/>
        <w:bottom w:val="none" w:sz="0" w:space="0" w:color="auto"/>
        <w:right w:val="none" w:sz="0" w:space="0" w:color="auto"/>
      </w:divBdr>
    </w:div>
    <w:div w:id="575869991">
      <w:bodyDiv w:val="1"/>
      <w:marLeft w:val="0"/>
      <w:marRight w:val="0"/>
      <w:marTop w:val="0"/>
      <w:marBottom w:val="0"/>
      <w:divBdr>
        <w:top w:val="none" w:sz="0" w:space="0" w:color="auto"/>
        <w:left w:val="none" w:sz="0" w:space="0" w:color="auto"/>
        <w:bottom w:val="none" w:sz="0" w:space="0" w:color="auto"/>
        <w:right w:val="none" w:sz="0" w:space="0" w:color="auto"/>
      </w:divBdr>
    </w:div>
    <w:div w:id="634483515">
      <w:bodyDiv w:val="1"/>
      <w:marLeft w:val="0"/>
      <w:marRight w:val="0"/>
      <w:marTop w:val="0"/>
      <w:marBottom w:val="0"/>
      <w:divBdr>
        <w:top w:val="none" w:sz="0" w:space="0" w:color="auto"/>
        <w:left w:val="none" w:sz="0" w:space="0" w:color="auto"/>
        <w:bottom w:val="none" w:sz="0" w:space="0" w:color="auto"/>
        <w:right w:val="none" w:sz="0" w:space="0" w:color="auto"/>
      </w:divBdr>
    </w:div>
    <w:div w:id="776094493">
      <w:bodyDiv w:val="1"/>
      <w:marLeft w:val="0"/>
      <w:marRight w:val="0"/>
      <w:marTop w:val="0"/>
      <w:marBottom w:val="0"/>
      <w:divBdr>
        <w:top w:val="none" w:sz="0" w:space="0" w:color="auto"/>
        <w:left w:val="none" w:sz="0" w:space="0" w:color="auto"/>
        <w:bottom w:val="none" w:sz="0" w:space="0" w:color="auto"/>
        <w:right w:val="none" w:sz="0" w:space="0" w:color="auto"/>
      </w:divBdr>
    </w:div>
    <w:div w:id="796686052">
      <w:bodyDiv w:val="1"/>
      <w:marLeft w:val="0"/>
      <w:marRight w:val="0"/>
      <w:marTop w:val="0"/>
      <w:marBottom w:val="0"/>
      <w:divBdr>
        <w:top w:val="none" w:sz="0" w:space="0" w:color="auto"/>
        <w:left w:val="none" w:sz="0" w:space="0" w:color="auto"/>
        <w:bottom w:val="none" w:sz="0" w:space="0" w:color="auto"/>
        <w:right w:val="none" w:sz="0" w:space="0" w:color="auto"/>
      </w:divBdr>
      <w:divsChild>
        <w:div w:id="1477914198">
          <w:marLeft w:val="0"/>
          <w:marRight w:val="0"/>
          <w:marTop w:val="0"/>
          <w:marBottom w:val="0"/>
          <w:divBdr>
            <w:top w:val="none" w:sz="0" w:space="0" w:color="auto"/>
            <w:left w:val="none" w:sz="0" w:space="0" w:color="auto"/>
            <w:bottom w:val="none" w:sz="0" w:space="0" w:color="auto"/>
            <w:right w:val="none" w:sz="0" w:space="0" w:color="auto"/>
          </w:divBdr>
        </w:div>
      </w:divsChild>
    </w:div>
    <w:div w:id="826551930">
      <w:bodyDiv w:val="1"/>
      <w:marLeft w:val="0"/>
      <w:marRight w:val="0"/>
      <w:marTop w:val="0"/>
      <w:marBottom w:val="0"/>
      <w:divBdr>
        <w:top w:val="none" w:sz="0" w:space="0" w:color="auto"/>
        <w:left w:val="none" w:sz="0" w:space="0" w:color="auto"/>
        <w:bottom w:val="none" w:sz="0" w:space="0" w:color="auto"/>
        <w:right w:val="none" w:sz="0" w:space="0" w:color="auto"/>
      </w:divBdr>
    </w:div>
    <w:div w:id="866018743">
      <w:bodyDiv w:val="1"/>
      <w:marLeft w:val="0"/>
      <w:marRight w:val="0"/>
      <w:marTop w:val="0"/>
      <w:marBottom w:val="0"/>
      <w:divBdr>
        <w:top w:val="none" w:sz="0" w:space="0" w:color="auto"/>
        <w:left w:val="none" w:sz="0" w:space="0" w:color="auto"/>
        <w:bottom w:val="none" w:sz="0" w:space="0" w:color="auto"/>
        <w:right w:val="none" w:sz="0" w:space="0" w:color="auto"/>
      </w:divBdr>
    </w:div>
    <w:div w:id="1307510330">
      <w:bodyDiv w:val="1"/>
      <w:marLeft w:val="0"/>
      <w:marRight w:val="0"/>
      <w:marTop w:val="0"/>
      <w:marBottom w:val="0"/>
      <w:divBdr>
        <w:top w:val="none" w:sz="0" w:space="0" w:color="auto"/>
        <w:left w:val="none" w:sz="0" w:space="0" w:color="auto"/>
        <w:bottom w:val="none" w:sz="0" w:space="0" w:color="auto"/>
        <w:right w:val="none" w:sz="0" w:space="0" w:color="auto"/>
      </w:divBdr>
    </w:div>
    <w:div w:id="1400860136">
      <w:bodyDiv w:val="1"/>
      <w:marLeft w:val="0"/>
      <w:marRight w:val="0"/>
      <w:marTop w:val="0"/>
      <w:marBottom w:val="0"/>
      <w:divBdr>
        <w:top w:val="none" w:sz="0" w:space="0" w:color="auto"/>
        <w:left w:val="none" w:sz="0" w:space="0" w:color="auto"/>
        <w:bottom w:val="none" w:sz="0" w:space="0" w:color="auto"/>
        <w:right w:val="none" w:sz="0" w:space="0" w:color="auto"/>
      </w:divBdr>
    </w:div>
    <w:div w:id="1451051977">
      <w:bodyDiv w:val="1"/>
      <w:marLeft w:val="0"/>
      <w:marRight w:val="0"/>
      <w:marTop w:val="0"/>
      <w:marBottom w:val="0"/>
      <w:divBdr>
        <w:top w:val="none" w:sz="0" w:space="0" w:color="auto"/>
        <w:left w:val="none" w:sz="0" w:space="0" w:color="auto"/>
        <w:bottom w:val="none" w:sz="0" w:space="0" w:color="auto"/>
        <w:right w:val="none" w:sz="0" w:space="0" w:color="auto"/>
      </w:divBdr>
    </w:div>
    <w:div w:id="1664508121">
      <w:bodyDiv w:val="1"/>
      <w:marLeft w:val="0"/>
      <w:marRight w:val="0"/>
      <w:marTop w:val="0"/>
      <w:marBottom w:val="0"/>
      <w:divBdr>
        <w:top w:val="none" w:sz="0" w:space="0" w:color="auto"/>
        <w:left w:val="none" w:sz="0" w:space="0" w:color="auto"/>
        <w:bottom w:val="none" w:sz="0" w:space="0" w:color="auto"/>
        <w:right w:val="none" w:sz="0" w:space="0" w:color="auto"/>
      </w:divBdr>
      <w:divsChild>
        <w:div w:id="1107845543">
          <w:marLeft w:val="0"/>
          <w:marRight w:val="0"/>
          <w:marTop w:val="0"/>
          <w:marBottom w:val="0"/>
          <w:divBdr>
            <w:top w:val="none" w:sz="0" w:space="0" w:color="auto"/>
            <w:left w:val="none" w:sz="0" w:space="0" w:color="auto"/>
            <w:bottom w:val="none" w:sz="0" w:space="0" w:color="auto"/>
            <w:right w:val="none" w:sz="0" w:space="0" w:color="auto"/>
          </w:divBdr>
        </w:div>
      </w:divsChild>
    </w:div>
    <w:div w:id="1735470889">
      <w:bodyDiv w:val="1"/>
      <w:marLeft w:val="0"/>
      <w:marRight w:val="0"/>
      <w:marTop w:val="0"/>
      <w:marBottom w:val="0"/>
      <w:divBdr>
        <w:top w:val="none" w:sz="0" w:space="0" w:color="auto"/>
        <w:left w:val="none" w:sz="0" w:space="0" w:color="auto"/>
        <w:bottom w:val="none" w:sz="0" w:space="0" w:color="auto"/>
        <w:right w:val="none" w:sz="0" w:space="0" w:color="auto"/>
      </w:divBdr>
    </w:div>
    <w:div w:id="1937788823">
      <w:bodyDiv w:val="1"/>
      <w:marLeft w:val="0"/>
      <w:marRight w:val="0"/>
      <w:marTop w:val="0"/>
      <w:marBottom w:val="0"/>
      <w:divBdr>
        <w:top w:val="none" w:sz="0" w:space="0" w:color="auto"/>
        <w:left w:val="none" w:sz="0" w:space="0" w:color="auto"/>
        <w:bottom w:val="none" w:sz="0" w:space="0" w:color="auto"/>
        <w:right w:val="none" w:sz="0" w:space="0" w:color="auto"/>
      </w:divBdr>
      <w:divsChild>
        <w:div w:id="1190339109">
          <w:marLeft w:val="0"/>
          <w:marRight w:val="0"/>
          <w:marTop w:val="0"/>
          <w:marBottom w:val="0"/>
          <w:divBdr>
            <w:top w:val="none" w:sz="0" w:space="0" w:color="auto"/>
            <w:left w:val="none" w:sz="0" w:space="0" w:color="auto"/>
            <w:bottom w:val="none" w:sz="0" w:space="0" w:color="auto"/>
            <w:right w:val="none" w:sz="0" w:space="0" w:color="auto"/>
          </w:divBdr>
        </w:div>
      </w:divsChild>
    </w:div>
    <w:div w:id="1968320283">
      <w:bodyDiv w:val="1"/>
      <w:marLeft w:val="0"/>
      <w:marRight w:val="0"/>
      <w:marTop w:val="0"/>
      <w:marBottom w:val="0"/>
      <w:divBdr>
        <w:top w:val="none" w:sz="0" w:space="0" w:color="auto"/>
        <w:left w:val="none" w:sz="0" w:space="0" w:color="auto"/>
        <w:bottom w:val="none" w:sz="0" w:space="0" w:color="auto"/>
        <w:right w:val="none" w:sz="0" w:space="0" w:color="auto"/>
      </w:divBdr>
    </w:div>
    <w:div w:id="200084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ackrock.com/corporate/about-us/investment-stewardshi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K 4x3 2019">
  <a:themeElements>
    <a:clrScheme name="BLK 2019">
      <a:dk1>
        <a:srgbClr val="000000"/>
      </a:dk1>
      <a:lt1>
        <a:srgbClr val="FFFFFF"/>
      </a:lt1>
      <a:dk2>
        <a:srgbClr val="000000"/>
      </a:dk2>
      <a:lt2>
        <a:srgbClr val="D6D5DD"/>
      </a:lt2>
      <a:accent1>
        <a:srgbClr val="FF4713"/>
      </a:accent1>
      <a:accent2>
        <a:srgbClr val="FFCE00"/>
      </a:accent2>
      <a:accent3>
        <a:srgbClr val="008B5C"/>
      </a:accent3>
      <a:accent4>
        <a:srgbClr val="FC9BB3"/>
      </a:accent4>
      <a:accent5>
        <a:srgbClr val="9062BC"/>
      </a:accent5>
      <a:accent6>
        <a:srgbClr val="C00B28"/>
      </a:accent6>
      <a:hlink>
        <a:srgbClr val="FF4713"/>
      </a:hlink>
      <a:folHlink>
        <a:srgbClr val="D50032"/>
      </a:folHlink>
    </a:clrScheme>
    <a:fontScheme name="BLK Fort">
      <a:majorFont>
        <a:latin typeface="BLK Fort Extrabold"/>
        <a:ea typeface=""/>
        <a:cs typeface=""/>
      </a:majorFont>
      <a:minorFont>
        <a:latin typeface="BLK For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w="9525" cap="flat" cmpd="sng" algn="ctr">
          <a:noFill/>
          <a:prstDash val="solid"/>
        </a:ln>
        <a:effectLst/>
      </a:spPr>
      <a:bodyPr rot="0" spcFirstLastPara="0" vertOverflow="overflow" horzOverflow="overflow" vert="horz" wrap="square" lIns="72000" tIns="36000" rIns="72000" bIns="36000" numCol="1" spcCol="0" rtlCol="0" fromWordArt="0" anchor="ctr" anchorCtr="1" forceAA="0" compatLnSpc="1">
        <a:prstTxWarp prst="textNoShape">
          <a:avLst/>
        </a:prstTxWarp>
        <a:noAutofit/>
      </a:bodyPr>
      <a:lstStyle>
        <a:defPPr algn="ctr">
          <a:buClr>
            <a:schemeClr val="tx2"/>
          </a:buClr>
          <a:buSzPct val="110000"/>
          <a:defRPr sz="1000" b="1" kern="0">
            <a:solidFill>
              <a:schemeClr val="tx2"/>
            </a:solidFill>
          </a:defRPr>
        </a:defPPr>
      </a:lstStyle>
    </a:spDef>
    <a:lnDef>
      <a:spPr>
        <a:ln>
          <a:solidFill>
            <a:srgbClr val="D9D9D9"/>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blank">
      <a:srgbClr val="FFFFFF"/>
    </a:custClr>
    <a:custClr name="blank">
      <a:srgbClr val="FFFFFF"/>
    </a:custClr>
    <a:custClr name="blank">
      <a:srgbClr val="FFFFFF"/>
    </a:custClr>
    <a:custClr name="Dark Gray">
      <a:srgbClr val="7C7B7F"/>
    </a:custClr>
    <a:custClr name="172 Shade">
      <a:srgbClr val="CD4119"/>
    </a:custClr>
    <a:custClr name="116 Shade">
      <a:srgbClr val="FCA900"/>
    </a:custClr>
    <a:custClr name="7724 Shade">
      <a:srgbClr val="00573C"/>
    </a:custClr>
    <a:custClr name="183 Shade">
      <a:srgbClr val="C80058"/>
    </a:custClr>
    <a:custClr name="2074 Shade">
      <a:srgbClr val="6E3FA3"/>
    </a:custClr>
    <a:custClr name="199 Shade">
      <a:srgbClr val="990013"/>
    </a:custClr>
    <a:custClr name="blank">
      <a:srgbClr val="FFFFFF"/>
    </a:custClr>
    <a:custClr name="blank">
      <a:srgbClr val="FFFFFF"/>
    </a:custClr>
    <a:custClr name="blank">
      <a:srgbClr val="FFFFFF"/>
    </a:custClr>
    <a:custClr name="Light Gray">
      <a:srgbClr val="D6D5DD"/>
    </a:custClr>
    <a:custClr name="172 Tint">
      <a:srgbClr val="FFB194"/>
    </a:custClr>
    <a:custClr name="116 Tint">
      <a:srgbClr val="FFE67F"/>
    </a:custClr>
    <a:custClr name="7724 Tint">
      <a:srgbClr val="9BD7BE"/>
    </a:custClr>
    <a:custClr name="183 Tint">
      <a:srgbClr val="F8D2D6"/>
    </a:custClr>
    <a:custClr name="2074 Tint">
      <a:srgbClr val="C7B2DE"/>
    </a:custClr>
    <a:custClr name="199 Tint">
      <a:srgbClr val="F3B8C9"/>
    </a:custClr>
  </a:custClrLst>
  <a:extLst>
    <a:ext uri="{05A4C25C-085E-4340-85A3-A5531E510DB2}">
      <thm15:themeFamily xmlns:thm15="http://schemas.microsoft.com/office/thememl/2012/main" name="blank.potx" id="{B8CFBD9C-492B-4EF3-A467-6910BF0961AE}" vid="{8A4930A9-A9C9-48BF-8823-48E8E51ABE8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94A63-AA44-4349-B163-E03C346DF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3669</Words>
  <Characters>20919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Minhaz</dc:creator>
  <cp:keywords/>
  <dc:description/>
  <cp:lastModifiedBy>Galande, Megha</cp:lastModifiedBy>
  <cp:revision>2</cp:revision>
  <dcterms:created xsi:type="dcterms:W3CDTF">2024-10-22T11:31:00Z</dcterms:created>
  <dcterms:modified xsi:type="dcterms:W3CDTF">2024-10-22T11:31:00Z</dcterms:modified>
</cp:coreProperties>
</file>