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A4B53" w14:textId="2AFA3C94" w:rsidR="004C02A5" w:rsidRPr="004C02A5" w:rsidRDefault="004C02A5" w:rsidP="004C02A5">
      <w:pPr>
        <w:pStyle w:val="NormalWeb"/>
        <w:rPr>
          <w:rFonts w:ascii="Arial" w:hAnsi="Arial" w:cs="Arial"/>
          <w:b/>
          <w:bCs/>
          <w:sz w:val="28"/>
          <w:szCs w:val="28"/>
        </w:rPr>
      </w:pPr>
      <w:r w:rsidRPr="004C02A5">
        <w:rPr>
          <w:rFonts w:ascii="Arial" w:hAnsi="Arial" w:cs="Arial"/>
          <w:b/>
          <w:bCs/>
          <w:sz w:val="28"/>
          <w:szCs w:val="28"/>
        </w:rPr>
        <w:t>API</w:t>
      </w:r>
      <w:r w:rsidRPr="004C02A5">
        <w:rPr>
          <w:rFonts w:ascii="Arial" w:hAnsi="Arial" w:cs="Arial"/>
          <w:b/>
          <w:bCs/>
          <w:sz w:val="28"/>
          <w:szCs w:val="28"/>
        </w:rPr>
        <w:t xml:space="preserve"> G</w:t>
      </w:r>
      <w:r w:rsidRPr="004C02A5">
        <w:rPr>
          <w:rFonts w:ascii="Arial" w:hAnsi="Arial" w:cs="Arial"/>
          <w:b/>
          <w:bCs/>
          <w:sz w:val="28"/>
          <w:szCs w:val="28"/>
        </w:rPr>
        <w:t>ebruiksvoorwaarden</w:t>
      </w:r>
      <w:r w:rsidRPr="004C02A5">
        <w:rPr>
          <w:rFonts w:ascii="Arial" w:hAnsi="Arial" w:cs="Arial"/>
          <w:b/>
          <w:bCs/>
          <w:sz w:val="28"/>
          <w:szCs w:val="28"/>
        </w:rPr>
        <w:t xml:space="preserve"> </w:t>
      </w:r>
      <w:proofErr w:type="spellStart"/>
      <w:r w:rsidRPr="004C02A5">
        <w:rPr>
          <w:rFonts w:ascii="Arial" w:hAnsi="Arial" w:cs="Arial"/>
          <w:b/>
          <w:bCs/>
          <w:sz w:val="28"/>
          <w:szCs w:val="28"/>
        </w:rPr>
        <w:t>Alure</w:t>
      </w:r>
      <w:proofErr w:type="spellEnd"/>
    </w:p>
    <w:p w14:paraId="088A213F" w14:textId="7E99792A" w:rsidR="004C02A5" w:rsidRPr="004C02A5" w:rsidRDefault="004C02A5" w:rsidP="004C02A5">
      <w:pPr>
        <w:pStyle w:val="NormalWeb"/>
        <w:rPr>
          <w:rFonts w:ascii="Arial" w:hAnsi="Arial" w:cs="Arial"/>
          <w:sz w:val="20"/>
          <w:szCs w:val="20"/>
        </w:rPr>
      </w:pPr>
      <w:r w:rsidRPr="004C02A5">
        <w:rPr>
          <w:rFonts w:ascii="Arial" w:hAnsi="Arial" w:cs="Arial"/>
          <w:sz w:val="20"/>
          <w:szCs w:val="20"/>
        </w:rPr>
        <w:t xml:space="preserve">Om er voor te zorgen dat de API-koppeling dienstverlening voor alle klanten betrouwbaar en zo stabiel mogelijk presteert monitoren wij het gebruik van de API-koppeling. Wolters Kluwer Tax </w:t>
      </w:r>
      <w:proofErr w:type="spellStart"/>
      <w:r w:rsidRPr="004C02A5">
        <w:rPr>
          <w:rFonts w:ascii="Arial" w:hAnsi="Arial" w:cs="Arial"/>
          <w:sz w:val="20"/>
          <w:szCs w:val="20"/>
        </w:rPr>
        <w:t>and</w:t>
      </w:r>
      <w:proofErr w:type="spellEnd"/>
      <w:r w:rsidRPr="004C02A5">
        <w:rPr>
          <w:rFonts w:ascii="Arial" w:hAnsi="Arial" w:cs="Arial"/>
          <w:sz w:val="20"/>
          <w:szCs w:val="20"/>
        </w:rPr>
        <w:t xml:space="preserve"> Accounting Nederland BV (Wolters Kluwer TAA NL) bepaalt en monitort het gemiddelde verbruik per tijdvak zoals per uur, dag, week, maand en jaar. Gemiddelden die worden toegepast zijn o.a. het data volume in kB, het aantal API-calls,  de capaciteit die wordt gebruikt voor het afhandelen van de API-aanvragen en de snelheid van de afhandeling van de data (in kB) in een bepaalde tijd (in ms).</w:t>
      </w:r>
    </w:p>
    <w:p w14:paraId="073256C6" w14:textId="5D230C20" w:rsidR="004C02A5" w:rsidRPr="004C02A5" w:rsidRDefault="006210C9" w:rsidP="004C02A5">
      <w:pPr>
        <w:pStyle w:val="NormalWeb"/>
        <w:rPr>
          <w:rFonts w:ascii="Arial" w:hAnsi="Arial" w:cs="Arial"/>
          <w:sz w:val="20"/>
          <w:szCs w:val="20"/>
        </w:rPr>
      </w:pPr>
      <w:r>
        <w:rPr>
          <w:rFonts w:ascii="Arial" w:hAnsi="Arial" w:cs="Arial"/>
          <w:b/>
          <w:bCs/>
          <w:sz w:val="20"/>
          <w:szCs w:val="20"/>
        </w:rPr>
        <w:t xml:space="preserve">Maximaal </w:t>
      </w:r>
      <w:r w:rsidR="00C86D63" w:rsidRPr="00C86D63">
        <w:rPr>
          <w:rFonts w:ascii="Arial" w:hAnsi="Arial" w:cs="Arial"/>
          <w:b/>
          <w:bCs/>
          <w:sz w:val="20"/>
          <w:szCs w:val="20"/>
        </w:rPr>
        <w:t>verbruik</w:t>
      </w:r>
      <w:r>
        <w:rPr>
          <w:rFonts w:ascii="Arial" w:hAnsi="Arial" w:cs="Arial"/>
          <w:b/>
          <w:bCs/>
          <w:sz w:val="20"/>
          <w:szCs w:val="20"/>
        </w:rPr>
        <w:t xml:space="preserve"> per tijdvak</w:t>
      </w:r>
      <w:r w:rsidR="00C86D63">
        <w:rPr>
          <w:rFonts w:ascii="Arial" w:hAnsi="Arial" w:cs="Arial"/>
          <w:b/>
          <w:bCs/>
          <w:sz w:val="20"/>
          <w:szCs w:val="20"/>
        </w:rPr>
        <w:br/>
      </w:r>
      <w:r w:rsidR="004C02A5" w:rsidRPr="004C02A5">
        <w:rPr>
          <w:rFonts w:ascii="Arial" w:hAnsi="Arial" w:cs="Arial"/>
          <w:sz w:val="20"/>
          <w:szCs w:val="20"/>
        </w:rPr>
        <w:t>In de standaard dienst van een API-koppeling wordt per tijdvak maximaal 150% beschikbaar gesteld van het gewogen gemiddelde API-verbruik. De weging van het gemiddelde wordt bepaald op basis van het totaal aantal betaalde licenties dat het accountancy kantoor heeft afgenomen, per afgenomen API-koppeling.</w:t>
      </w:r>
    </w:p>
    <w:p w14:paraId="3EACA44C" w14:textId="6158B0EA" w:rsidR="004C02A5" w:rsidRPr="004C02A5" w:rsidRDefault="00C86D63" w:rsidP="004C02A5">
      <w:pPr>
        <w:pStyle w:val="NormalWeb"/>
        <w:rPr>
          <w:rFonts w:ascii="Arial" w:hAnsi="Arial" w:cs="Arial"/>
          <w:sz w:val="20"/>
          <w:szCs w:val="20"/>
        </w:rPr>
      </w:pPr>
      <w:r w:rsidRPr="00C86D63">
        <w:rPr>
          <w:rFonts w:ascii="Arial" w:hAnsi="Arial" w:cs="Arial"/>
          <w:b/>
          <w:bCs/>
          <w:sz w:val="20"/>
          <w:szCs w:val="20"/>
        </w:rPr>
        <w:t>Overschrijding gebruik</w:t>
      </w:r>
      <w:r>
        <w:rPr>
          <w:rFonts w:ascii="Arial" w:hAnsi="Arial" w:cs="Arial"/>
          <w:sz w:val="20"/>
          <w:szCs w:val="20"/>
        </w:rPr>
        <w:br/>
      </w:r>
      <w:r w:rsidR="008A0C01">
        <w:rPr>
          <w:rFonts w:ascii="Arial" w:hAnsi="Arial" w:cs="Arial"/>
          <w:sz w:val="20"/>
          <w:szCs w:val="20"/>
        </w:rPr>
        <w:t>Als</w:t>
      </w:r>
      <w:r w:rsidR="004C02A5" w:rsidRPr="004C02A5">
        <w:rPr>
          <w:rFonts w:ascii="Arial" w:hAnsi="Arial" w:cs="Arial"/>
          <w:sz w:val="20"/>
          <w:szCs w:val="20"/>
        </w:rPr>
        <w:t xml:space="preserve"> het verbruik hoger is dan 150% van het gewogen gemiddelde verbruik per API-koppeling, dan wordt contact opgenomen met de klant om het te hoge verbruik kenbaar te maken. Tegelijkertijd zal Wolters Kluwer TAA NL het verbruik via de API-koppeling beperken tot het maximaal toegestane verbruik, te weten de genoemde 150%.  </w:t>
      </w:r>
    </w:p>
    <w:p w14:paraId="11FA01B2" w14:textId="395170E0" w:rsidR="004C02A5" w:rsidRPr="004C02A5" w:rsidRDefault="00C86D63" w:rsidP="004C02A5">
      <w:pPr>
        <w:pStyle w:val="NormalWeb"/>
        <w:rPr>
          <w:rFonts w:ascii="Arial" w:hAnsi="Arial" w:cs="Arial"/>
          <w:sz w:val="20"/>
          <w:szCs w:val="20"/>
        </w:rPr>
      </w:pPr>
      <w:r w:rsidRPr="00C86D63">
        <w:rPr>
          <w:rFonts w:ascii="Arial" w:hAnsi="Arial" w:cs="Arial"/>
          <w:b/>
          <w:bCs/>
          <w:sz w:val="20"/>
          <w:szCs w:val="20"/>
        </w:rPr>
        <w:t>Uitbreiding verbruik</w:t>
      </w:r>
      <w:r>
        <w:rPr>
          <w:rFonts w:ascii="Arial" w:hAnsi="Arial" w:cs="Arial"/>
          <w:sz w:val="20"/>
          <w:szCs w:val="20"/>
        </w:rPr>
        <w:br/>
        <w:t>Als</w:t>
      </w:r>
      <w:r w:rsidR="004C02A5" w:rsidRPr="004C02A5">
        <w:rPr>
          <w:rFonts w:ascii="Arial" w:hAnsi="Arial" w:cs="Arial"/>
          <w:sz w:val="20"/>
          <w:szCs w:val="20"/>
        </w:rPr>
        <w:t xml:space="preserve"> het wenselijk is om de standaard API-koppeling dienst(en) uit te breiden en meer te verbruiken dan 150% van het gewogen gemiddelde verbruik dan zal Wolters Kluwer TAA NL op basis van het gewenste verzoek een voorstel doen. Pas nadat overeenstemming is bereikt zal het maximaal toegestane gebruik worden aangepast aan de nieuw afgesproken dienst.</w:t>
      </w:r>
    </w:p>
    <w:p w14:paraId="3E9F358D" w14:textId="5281F817" w:rsidR="00C73D40" w:rsidRPr="004C02A5" w:rsidRDefault="004C02A5" w:rsidP="00C86D63">
      <w:pPr>
        <w:pStyle w:val="NormalWeb"/>
        <w:rPr>
          <w:rFonts w:ascii="Arial" w:hAnsi="Arial" w:cs="Arial"/>
          <w:sz w:val="20"/>
          <w:szCs w:val="20"/>
        </w:rPr>
      </w:pPr>
      <w:r w:rsidRPr="004C02A5">
        <w:rPr>
          <w:rFonts w:ascii="Arial" w:hAnsi="Arial" w:cs="Arial"/>
          <w:sz w:val="20"/>
          <w:szCs w:val="20"/>
        </w:rPr>
        <w:t>Uitbreiding van een API-koppeling met functionaliteit en/of data kan als aparte dienst worden aangeboden. In die gevallen zal het niet binnen de standaard dienst beschikbaar komen en zal het (als uitbreiding op de standaard API-koppeling dienst) als betaalde dienst worden aangeboden. </w:t>
      </w:r>
    </w:p>
    <w:sectPr w:rsidR="00C73D40" w:rsidRPr="004C02A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80B5" w14:textId="77777777" w:rsidR="00BF33D6" w:rsidRDefault="00BF33D6" w:rsidP="00FA5E13">
      <w:pPr>
        <w:spacing w:after="0" w:line="240" w:lineRule="auto"/>
      </w:pPr>
      <w:r>
        <w:separator/>
      </w:r>
    </w:p>
  </w:endnote>
  <w:endnote w:type="continuationSeparator" w:id="0">
    <w:p w14:paraId="1C3A6897" w14:textId="77777777" w:rsidR="00BF33D6" w:rsidRDefault="00BF33D6" w:rsidP="00F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AB38" w14:textId="77777777" w:rsidR="00BF33D6" w:rsidRDefault="00BF33D6" w:rsidP="00FA5E13">
      <w:pPr>
        <w:spacing w:after="0" w:line="240" w:lineRule="auto"/>
      </w:pPr>
      <w:r>
        <w:separator/>
      </w:r>
    </w:p>
  </w:footnote>
  <w:footnote w:type="continuationSeparator" w:id="0">
    <w:p w14:paraId="58D9EA33" w14:textId="77777777" w:rsidR="00BF33D6" w:rsidRDefault="00BF33D6" w:rsidP="00F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AC86" w14:textId="11AF541B" w:rsidR="00FA5E13" w:rsidRDefault="00FA5E13" w:rsidP="00FA5E13">
    <w:pPr>
      <w:pStyle w:val="Header"/>
      <w:jc w:val="right"/>
    </w:pPr>
    <w:r>
      <w:rPr>
        <w:noProof/>
      </w:rPr>
      <w:drawing>
        <wp:inline distT="0" distB="0" distL="0" distR="0" wp14:anchorId="296BC16E" wp14:editId="69F7F8CF">
          <wp:extent cx="1791500" cy="4318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30828" cy="4413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A5"/>
    <w:rsid w:val="001A7C5C"/>
    <w:rsid w:val="004C02A5"/>
    <w:rsid w:val="005447F8"/>
    <w:rsid w:val="006210C9"/>
    <w:rsid w:val="008A0C01"/>
    <w:rsid w:val="00BF33D6"/>
    <w:rsid w:val="00BF66CE"/>
    <w:rsid w:val="00C86D63"/>
    <w:rsid w:val="00FA5E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84FB"/>
  <w15:chartTrackingRefBased/>
  <w15:docId w15:val="{D0692382-6576-40C7-8CAB-FE29E455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02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ui-provider">
    <w:name w:val="ui-provider"/>
    <w:basedOn w:val="DefaultParagraphFont"/>
    <w:rsid w:val="004C02A5"/>
  </w:style>
  <w:style w:type="paragraph" w:styleId="Header">
    <w:name w:val="header"/>
    <w:basedOn w:val="Normal"/>
    <w:link w:val="HeaderChar"/>
    <w:uiPriority w:val="99"/>
    <w:unhideWhenUsed/>
    <w:rsid w:val="00FA5E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5E13"/>
  </w:style>
  <w:style w:type="paragraph" w:styleId="Footer">
    <w:name w:val="footer"/>
    <w:basedOn w:val="Normal"/>
    <w:link w:val="FooterChar"/>
    <w:uiPriority w:val="99"/>
    <w:unhideWhenUsed/>
    <w:rsid w:val="00FA5E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5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3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300</Words>
  <Characters>1653</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Nistelrooij, Claudia van</dc:creator>
  <cp:keywords/>
  <dc:description/>
  <cp:lastModifiedBy>Nistelrooij, Claudia van</cp:lastModifiedBy>
  <cp:revision>6</cp:revision>
  <dcterms:created xsi:type="dcterms:W3CDTF">2023-05-04T11:54:00Z</dcterms:created>
  <dcterms:modified xsi:type="dcterms:W3CDTF">2023-05-04T12:03:00Z</dcterms:modified>
</cp:coreProperties>
</file>